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rFonts w:hint="eastAsia"/>
          <w:sz w:val="32"/>
          <w:szCs w:val="32"/>
        </w:rPr>
        <w:t>附件：</w:t>
      </w:r>
    </w:p>
    <w:p>
      <w:pPr>
        <w:widowControl/>
        <w:jc w:val="center"/>
        <w:rPr>
          <w:rFonts w:hint="eastAsia" w:ascii="宋体" w:hAnsi="宋体" w:cs="Courier New"/>
          <w:b/>
          <w:sz w:val="36"/>
          <w:szCs w:val="36"/>
        </w:rPr>
      </w:pPr>
      <w:bookmarkStart w:id="0" w:name="_GoBack"/>
      <w:r>
        <w:rPr>
          <w:rFonts w:hint="eastAsia" w:ascii="宋体" w:hAnsi="宋体" w:cs="Courier New"/>
          <w:b/>
          <w:bCs/>
          <w:sz w:val="36"/>
          <w:szCs w:val="36"/>
        </w:rPr>
        <w:t>2018年度淮安市自然科学软课题入围项目一览表</w:t>
      </w:r>
    </w:p>
    <w:bookmarkEnd w:id="0"/>
    <w:tbl>
      <w:tblPr>
        <w:tblStyle w:val="4"/>
        <w:tblpPr w:leftFromText="180" w:rightFromText="180" w:vertAnchor="page" w:horzAnchor="page" w:tblpX="1965" w:tblpY="3078"/>
        <w:tblW w:w="8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2700"/>
        <w:gridCol w:w="1410"/>
        <w:gridCol w:w="159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4" w:type="dxa"/>
            <w:vAlign w:val="center"/>
          </w:tcPr>
          <w:p>
            <w:pPr>
              <w:widowControl/>
              <w:spacing w:line="300" w:lineRule="exact"/>
              <w:jc w:val="center"/>
              <w:rPr>
                <w:rFonts w:ascii="黑体" w:hAnsi="宋体" w:eastAsia="黑体" w:cs="Courier New"/>
                <w:bCs/>
                <w:sz w:val="28"/>
                <w:szCs w:val="28"/>
              </w:rPr>
            </w:pPr>
            <w:r>
              <w:rPr>
                <w:rFonts w:hint="eastAsia" w:ascii="黑体" w:hAnsi="宋体" w:eastAsia="黑体" w:cs="Courier New"/>
                <w:bCs/>
                <w:sz w:val="28"/>
                <w:szCs w:val="28"/>
              </w:rPr>
              <w:t>序号</w:t>
            </w:r>
          </w:p>
        </w:tc>
        <w:tc>
          <w:tcPr>
            <w:tcW w:w="2700" w:type="dxa"/>
            <w:vAlign w:val="center"/>
          </w:tcPr>
          <w:p>
            <w:pPr>
              <w:widowControl/>
              <w:spacing w:line="300" w:lineRule="exact"/>
              <w:ind w:left="-246" w:leftChars="-117" w:firstLine="246" w:firstLineChars="88"/>
              <w:jc w:val="center"/>
              <w:rPr>
                <w:rFonts w:ascii="黑体" w:hAnsi="宋体" w:eastAsia="黑体" w:cs="Courier New"/>
                <w:bCs/>
                <w:sz w:val="28"/>
                <w:szCs w:val="28"/>
              </w:rPr>
            </w:pPr>
            <w:r>
              <w:rPr>
                <w:rFonts w:hint="eastAsia" w:ascii="黑体" w:hAnsi="宋体" w:eastAsia="黑体" w:cs="Courier New"/>
                <w:bCs/>
                <w:sz w:val="28"/>
                <w:szCs w:val="28"/>
              </w:rPr>
              <w:t>项目名称</w:t>
            </w:r>
          </w:p>
        </w:tc>
        <w:tc>
          <w:tcPr>
            <w:tcW w:w="1410" w:type="dxa"/>
            <w:vAlign w:val="center"/>
          </w:tcPr>
          <w:p>
            <w:pPr>
              <w:widowControl/>
              <w:spacing w:line="300" w:lineRule="exact"/>
              <w:jc w:val="center"/>
              <w:rPr>
                <w:rFonts w:ascii="黑体" w:hAnsi="宋体" w:eastAsia="黑体" w:cs="Courier New"/>
                <w:bCs/>
                <w:sz w:val="28"/>
                <w:szCs w:val="28"/>
              </w:rPr>
            </w:pPr>
            <w:r>
              <w:rPr>
                <w:rFonts w:hint="eastAsia" w:ascii="黑体" w:hAnsi="宋体" w:eastAsia="黑体" w:cs="Courier New"/>
                <w:bCs/>
                <w:sz w:val="28"/>
                <w:szCs w:val="28"/>
              </w:rPr>
              <w:t>项  目</w:t>
            </w:r>
          </w:p>
          <w:p>
            <w:pPr>
              <w:widowControl/>
              <w:spacing w:line="300" w:lineRule="exact"/>
              <w:jc w:val="center"/>
              <w:rPr>
                <w:rFonts w:ascii="黑体" w:hAnsi="宋体" w:eastAsia="黑体" w:cs="Courier New"/>
                <w:bCs/>
                <w:sz w:val="28"/>
                <w:szCs w:val="28"/>
              </w:rPr>
            </w:pPr>
            <w:r>
              <w:rPr>
                <w:rFonts w:hint="eastAsia" w:ascii="黑体" w:hAnsi="宋体" w:eastAsia="黑体" w:cs="Courier New"/>
                <w:bCs/>
                <w:sz w:val="28"/>
                <w:szCs w:val="28"/>
              </w:rPr>
              <w:t>负责人</w:t>
            </w:r>
          </w:p>
        </w:tc>
        <w:tc>
          <w:tcPr>
            <w:tcW w:w="1590" w:type="dxa"/>
            <w:vAlign w:val="center"/>
          </w:tcPr>
          <w:p>
            <w:pPr>
              <w:widowControl/>
              <w:spacing w:line="300" w:lineRule="exact"/>
              <w:jc w:val="center"/>
              <w:rPr>
                <w:rFonts w:ascii="黑体" w:hAnsi="宋体" w:eastAsia="黑体" w:cs="Courier New"/>
                <w:bCs/>
                <w:sz w:val="28"/>
                <w:szCs w:val="28"/>
              </w:rPr>
            </w:pPr>
            <w:r>
              <w:rPr>
                <w:rFonts w:hint="eastAsia" w:ascii="黑体" w:hAnsi="宋体" w:eastAsia="黑体" w:cs="Courier New"/>
                <w:bCs/>
                <w:sz w:val="28"/>
                <w:szCs w:val="28"/>
              </w:rPr>
              <w:t>所在单位</w:t>
            </w:r>
          </w:p>
        </w:tc>
        <w:tc>
          <w:tcPr>
            <w:tcW w:w="1515" w:type="dxa"/>
            <w:vAlign w:val="center"/>
          </w:tcPr>
          <w:p>
            <w:pPr>
              <w:widowControl/>
              <w:spacing w:line="300" w:lineRule="exact"/>
              <w:jc w:val="center"/>
              <w:rPr>
                <w:rFonts w:ascii="黑体" w:hAnsi="宋体" w:eastAsia="黑体" w:cs="Courier New"/>
                <w:bCs/>
                <w:sz w:val="28"/>
                <w:szCs w:val="28"/>
              </w:rPr>
            </w:pPr>
            <w:r>
              <w:rPr>
                <w:rFonts w:hint="eastAsia" w:ascii="黑体" w:hAnsi="宋体" w:eastAsia="黑体" w:cs="Courier New"/>
                <w:bCs/>
                <w:sz w:val="28"/>
                <w:szCs w:val="28"/>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1</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 xml:space="preserve">淮安市建设航空货运枢纽对策研究  </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庞进亮</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市物流学会</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2</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新常态下的淮安市新能源汽车产业转型升级研究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陈玉华</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淮安信息职业技术学院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重点资助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3</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高速铁路对淮安市旅游空间结构的影响及优化策略研究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王雪梅</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市工程师学会</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4</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关于淮安市食品产业技术协同创新联盟的创新驱动体制机制研究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田其英</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江苏食品药品职业技术学院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5</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淮安运河饮食文化内涵挖掘与产业化发展研究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王咏梅</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江苏食品药品职业技术学院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6</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淮安漕运文化创意产品设计策略及开发研究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许云飞</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江苏食品药品职业技术学院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7</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淮安市农产品品牌化路径研究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楚  娟</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中共淮安市委党校</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8</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淮安市县域生态建设与经济竞争力协同发展研究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陈彩虹</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淮阴师范学院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一般资助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9</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大运河文化带视角下我市运河文化遗产资源库设计与实现</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赵洪波</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淮阴师范学院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专项资助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10</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基于科技前瞻之淮安市科技创新能力提升路径</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陈大仁</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市交通工程</w:t>
            </w:r>
          </w:p>
          <w:p>
            <w:pPr>
              <w:widowControl/>
              <w:spacing w:line="300" w:lineRule="exact"/>
              <w:rPr>
                <w:rFonts w:ascii="仿宋" w:hAnsi="仿宋" w:eastAsia="仿宋" w:cs="仿宋"/>
                <w:bCs/>
                <w:szCs w:val="21"/>
              </w:rPr>
            </w:pPr>
            <w:r>
              <w:rPr>
                <w:rFonts w:hint="eastAsia" w:ascii="仿宋" w:hAnsi="仿宋" w:eastAsia="仿宋" w:cs="仿宋"/>
                <w:bCs/>
                <w:szCs w:val="21"/>
              </w:rPr>
              <w:t>学会</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专项资助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11</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论苏北科技人才环境提升工程　</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管永刚</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市数控学会、</w:t>
            </w:r>
          </w:p>
          <w:p>
            <w:pPr>
              <w:widowControl/>
              <w:spacing w:line="300" w:lineRule="exact"/>
              <w:rPr>
                <w:rFonts w:ascii="仿宋" w:hAnsi="仿宋" w:eastAsia="仿宋" w:cs="仿宋"/>
                <w:bCs/>
                <w:szCs w:val="21"/>
              </w:rPr>
            </w:pPr>
            <w:r>
              <w:rPr>
                <w:rFonts w:hint="eastAsia" w:ascii="仿宋" w:hAnsi="仿宋" w:eastAsia="仿宋" w:cs="仿宋"/>
                <w:bCs/>
                <w:szCs w:val="21"/>
              </w:rPr>
              <w:t>淮阴工学院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专项资助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12</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中学生科技创新能力培养的研究与实践</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朱益民</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淮阴师范学院附属中学</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专项资助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13</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淮安运河饮食文化再挖掘，助力打造大运河文化带</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董道顺</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江苏食品药品职业技术学院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专项资助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14</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基于供应链战略协同的淮安农产品品牌化途径建设研究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白卫东</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江苏财经职业技术学院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专项资助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15</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淮安市农村环境卫生状况及解决对策研究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李  兵</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江苏食品药品职业技术学院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专项资助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16</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江淮地区淮安市县域农村人居环境质量评价及空间分异研究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王月香</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淮阴师范学院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专项资助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17</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放管服改革背景下淮安市企业投资项目“多评合一”的可行性研究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张守美</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淮安市行政</w:t>
            </w:r>
          </w:p>
          <w:p>
            <w:pPr>
              <w:widowControl/>
              <w:spacing w:line="300" w:lineRule="exact"/>
              <w:rPr>
                <w:rFonts w:ascii="仿宋" w:hAnsi="仿宋" w:eastAsia="仿宋" w:cs="仿宋"/>
                <w:bCs/>
                <w:szCs w:val="21"/>
              </w:rPr>
            </w:pPr>
            <w:r>
              <w:rPr>
                <w:rFonts w:hint="eastAsia" w:ascii="仿宋" w:hAnsi="仿宋" w:eastAsia="仿宋" w:cs="仿宋"/>
                <w:bCs/>
                <w:szCs w:val="21"/>
              </w:rPr>
              <w:t>审批局</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专项资助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18</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高职院校实施“技能脱贫行动”的有效对策研究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周  奎</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淮安信息职业技术学院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专项资助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19</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 xml:space="preserve">“一区两带”视域下淮安“水文化”传承与城市建设的耦合研究      </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陈  姝</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市水利局</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20</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淮安大运河水工程文化遗产保护与利用研究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潘光杰</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市水利局</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21</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基于大数据平台淮安大运河水工程文化遗产的保护与利用研究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侯  林</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淮安信息职业技术学院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22</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碳量子点大运河文化遗址渗漏检测中应用的可行性研究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彭宁波</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淮阴工学院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23</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淮安市水利建设中的“水文化+旅游”模式探索研究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尤其中</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市水利局</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24</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全媒体时代运河文化的传承与弘扬研究——以大运河淮安段非物质文化遗产为例</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崔  静</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淮阴师范学院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25</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互联网+淮安地域文化展示策略研究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王桂霞</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淮安信息职业技术学院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26</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推进“红色旅游，游在淮安”视角下的  体育旅游产业整合与可持续发展策略研究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陈立富</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淮安信息职业技术学院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27</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基于旅游者视角下的淮安红色景区景观雕塑设计与研究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汤海英</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淮阴工学院</w:t>
            </w:r>
          </w:p>
          <w:p>
            <w:pPr>
              <w:widowControl/>
              <w:spacing w:line="300" w:lineRule="exact"/>
              <w:rPr>
                <w:rFonts w:ascii="仿宋" w:hAnsi="仿宋" w:eastAsia="仿宋" w:cs="仿宋"/>
                <w:bCs/>
                <w:szCs w:val="21"/>
              </w:rPr>
            </w:pPr>
            <w:r>
              <w:rPr>
                <w:rFonts w:hint="eastAsia" w:ascii="仿宋" w:hAnsi="仿宋" w:eastAsia="仿宋" w:cs="仿宋"/>
                <w:bCs/>
                <w:szCs w:val="21"/>
              </w:rPr>
              <w:t>设计艺术学院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28</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大运河文化视阈下淮安城市环境陶艺发展策略研究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朱汇洋</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淮阴工学院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29</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“互联网+”背景下淮安特色文创产品开发研究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高  燕</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淮安信息职业技术学院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30</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淮安市漕运建筑文化元素在旅游纪念品中的设计应用研究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吴  颖</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淮阴师范学院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31</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新时代红色文化融入青年学生理想信念教育研究——以淮安红色文化为例</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单莹坤</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淮安信息职业技术学院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32</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淮安地域文化在高校思想政治教育中的应用研究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季进军</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淮安信息职业技术学院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33</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淮安智慧文化建设和发展的对策研究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王兰芳</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市计算机学会、淮阴</w:t>
            </w:r>
          </w:p>
          <w:p>
            <w:pPr>
              <w:widowControl/>
              <w:spacing w:line="300" w:lineRule="exact"/>
              <w:rPr>
                <w:rFonts w:ascii="仿宋" w:hAnsi="仿宋" w:eastAsia="仿宋" w:cs="仿宋"/>
                <w:bCs/>
                <w:szCs w:val="21"/>
              </w:rPr>
            </w:pPr>
            <w:r>
              <w:rPr>
                <w:rFonts w:hint="eastAsia" w:ascii="仿宋" w:hAnsi="仿宋" w:eastAsia="仿宋" w:cs="仿宋"/>
                <w:bCs/>
                <w:szCs w:val="21"/>
              </w:rPr>
              <w:t>工学院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34</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协同共建背景下高校校园文化与地方优秀文化的融合研究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程桂练</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淮阴工学院</w:t>
            </w:r>
          </w:p>
          <w:p>
            <w:pPr>
              <w:widowControl/>
              <w:spacing w:line="300" w:lineRule="exact"/>
              <w:rPr>
                <w:rFonts w:ascii="仿宋" w:hAnsi="仿宋" w:eastAsia="仿宋" w:cs="仿宋"/>
                <w:bCs/>
                <w:szCs w:val="21"/>
              </w:rPr>
            </w:pPr>
            <w:r>
              <w:rPr>
                <w:rFonts w:hint="eastAsia" w:ascii="仿宋" w:hAnsi="仿宋" w:eastAsia="仿宋" w:cs="仿宋"/>
                <w:bCs/>
                <w:szCs w:val="21"/>
              </w:rPr>
              <w:t>图书馆</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35</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淮安市里运河文化资源研究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谭  进</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淮安市图书馆</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36</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运河文化地方课程开发和实践研究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薛祝其</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市教育局</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37</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劳动力成本上升对淮安市劳动密集型企业的影响研究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刘奎武</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江苏食品药品职业技术学院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38</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利用工业机器人应对劳动力成本上升对劳动密集型企业的影响</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杨  帅</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淮安信息职业技术学院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39</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劳动力成本上升背景下劳动密集型产业升级的路径研究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庄小将</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江苏财经职业技术学院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40</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劳动力成本上升对淮安地区台资企业发展的影响和预测研究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林鹏举</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市交通工程</w:t>
            </w:r>
          </w:p>
          <w:p>
            <w:pPr>
              <w:widowControl/>
              <w:spacing w:line="300" w:lineRule="exact"/>
              <w:rPr>
                <w:rFonts w:ascii="仿宋" w:hAnsi="仿宋" w:eastAsia="仿宋" w:cs="仿宋"/>
                <w:bCs/>
                <w:szCs w:val="21"/>
              </w:rPr>
            </w:pPr>
            <w:r>
              <w:rPr>
                <w:rFonts w:hint="eastAsia" w:ascii="仿宋" w:hAnsi="仿宋" w:eastAsia="仿宋" w:cs="仿宋"/>
                <w:bCs/>
                <w:szCs w:val="21"/>
              </w:rPr>
              <w:t>学会</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41</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淮安应对高铁时代对策研究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万玉龙</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淮安信息职业技术学院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42</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 xml:space="preserve">高铁背景下的淮安客运对策研究 </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张其龙</w:t>
            </w:r>
          </w:p>
          <w:p>
            <w:pPr>
              <w:widowControl/>
              <w:spacing w:line="300" w:lineRule="exact"/>
              <w:jc w:val="center"/>
              <w:rPr>
                <w:rFonts w:ascii="仿宋" w:hAnsi="仿宋" w:eastAsia="仿宋" w:cs="仿宋"/>
                <w:bCs/>
                <w:szCs w:val="21"/>
              </w:rPr>
            </w:pPr>
            <w:r>
              <w:rPr>
                <w:rFonts w:hint="eastAsia" w:ascii="仿宋" w:hAnsi="仿宋" w:eastAsia="仿宋" w:cs="仿宋"/>
                <w:bCs/>
                <w:szCs w:val="21"/>
              </w:rPr>
              <w:t>包   旭</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淮安市交通运输局、淮阴</w:t>
            </w:r>
          </w:p>
          <w:p>
            <w:pPr>
              <w:widowControl/>
              <w:spacing w:line="300" w:lineRule="exact"/>
              <w:rPr>
                <w:rFonts w:ascii="仿宋" w:hAnsi="仿宋" w:eastAsia="仿宋" w:cs="仿宋"/>
                <w:bCs/>
                <w:szCs w:val="21"/>
              </w:rPr>
            </w:pPr>
            <w:r>
              <w:rPr>
                <w:rFonts w:hint="eastAsia" w:ascii="仿宋" w:hAnsi="仿宋" w:eastAsia="仿宋" w:cs="仿宋"/>
                <w:bCs/>
                <w:szCs w:val="21"/>
              </w:rPr>
              <w:t>工学院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43</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高铁时代背景下淮安区域经济发展及对策研究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郭建华　　雍洪宝</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市绿色建筑与建筑节能协会</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44</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高速铁路时代淮安城市交通发展对策研究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孙华圣</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淮阴工学院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45</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淮安高铁快运发展战略规划研究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段文扬</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淮安市铁路</w:t>
            </w:r>
          </w:p>
          <w:p>
            <w:pPr>
              <w:widowControl/>
              <w:spacing w:line="300" w:lineRule="exact"/>
              <w:rPr>
                <w:rFonts w:ascii="仿宋" w:hAnsi="仿宋" w:eastAsia="仿宋" w:cs="仿宋"/>
                <w:bCs/>
                <w:szCs w:val="21"/>
              </w:rPr>
            </w:pPr>
            <w:r>
              <w:rPr>
                <w:rFonts w:hint="eastAsia" w:ascii="仿宋" w:hAnsi="仿宋" w:eastAsia="仿宋" w:cs="仿宋"/>
                <w:bCs/>
                <w:szCs w:val="21"/>
              </w:rPr>
              <w:t>建设办公室</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46</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淮安高铁时代“1+X+N”的产业体系研究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顾理琴</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江苏食品药品职业技术学院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47</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淮安市科技创新能力评估与提升路径研究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乔  琪</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淮安信息职业技术学院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48</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淮安市科技创新能力评价与提升研究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边  巍</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江苏财经职业技术学院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49</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淮安市科技进步统计监测体系及方法研究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刘  嘉</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淮安信息职业技术学院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50</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淮安市科技进步统计监测体系研究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唐  成</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淮安市科学技术情报研究所</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51</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淮安地区科研评价及机制构建研究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高本领</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市物理学会、淮阴工学院</w:t>
            </w:r>
          </w:p>
          <w:p>
            <w:pPr>
              <w:widowControl/>
              <w:spacing w:line="300" w:lineRule="exact"/>
              <w:rPr>
                <w:rFonts w:ascii="仿宋" w:hAnsi="仿宋" w:eastAsia="仿宋" w:cs="仿宋"/>
                <w:bCs/>
                <w:szCs w:val="21"/>
              </w:rPr>
            </w:pPr>
            <w:r>
              <w:rPr>
                <w:rFonts w:hint="eastAsia" w:ascii="仿宋" w:hAnsi="仿宋" w:eastAsia="仿宋" w:cs="仿宋"/>
                <w:bCs/>
                <w:szCs w:val="21"/>
              </w:rPr>
              <w:t>数理学院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52</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淮安市众创空间运行绩效评估体系构建研究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叶  畅</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淮安信息职业技术学院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53</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大数据背景下高校科研管理的新对策</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朱守丽</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淮阴师范学院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54</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基于云计算的交通状态监控与预测平台方案研究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苏红艳</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淮安信息职业技术学院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55</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高校人才培养视角下进一步提升我市产才融合的路径研究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王志勃</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淮安信息职业技术学院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56</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中学生科技创新能力培养的研究与实践</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杨  斌</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淮阴师范学院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57</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“一带一路”和“数字化转型”双重背景下淮安市ICT国际化人才培养模式的探索</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于正永</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淮安信息职业技术学院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58</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职校学生科技创新能力培养的研究与实践</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韩玉娟</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淮安市高级职业技术学校</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59</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以数学建模为抓手的中学生科技创新能力培养的研究与思考</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郭  嵩</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淮阴师范学院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60</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淮安市大学生创新创业能力培养的研究与实践</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马玲玲</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淮安信息职业技术学院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61</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基于XR技术培育和提升创新力的研究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刘尚勤</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市计算机学会、淮阴</w:t>
            </w:r>
          </w:p>
          <w:p>
            <w:pPr>
              <w:widowControl/>
              <w:spacing w:line="300" w:lineRule="exact"/>
              <w:rPr>
                <w:rFonts w:ascii="仿宋" w:hAnsi="仿宋" w:eastAsia="仿宋" w:cs="仿宋"/>
                <w:bCs/>
                <w:szCs w:val="21"/>
              </w:rPr>
            </w:pPr>
            <w:r>
              <w:rPr>
                <w:rFonts w:hint="eastAsia" w:ascii="仿宋" w:hAnsi="仿宋" w:eastAsia="仿宋" w:cs="仿宋"/>
                <w:bCs/>
                <w:szCs w:val="21"/>
              </w:rPr>
              <w:t>工学院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62</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创客教育在中小学教学中的应用研究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张谷一</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江苏书妙翰缘科技发展</w:t>
            </w:r>
          </w:p>
          <w:p>
            <w:pPr>
              <w:widowControl/>
              <w:spacing w:line="300" w:lineRule="exact"/>
              <w:rPr>
                <w:rFonts w:ascii="仿宋" w:hAnsi="仿宋" w:eastAsia="仿宋" w:cs="仿宋"/>
                <w:bCs/>
                <w:szCs w:val="21"/>
              </w:rPr>
            </w:pPr>
            <w:r>
              <w:rPr>
                <w:rFonts w:hint="eastAsia" w:ascii="仿宋" w:hAnsi="仿宋" w:eastAsia="仿宋" w:cs="仿宋"/>
                <w:bCs/>
                <w:szCs w:val="21"/>
              </w:rPr>
              <w:t>有限公司</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63</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CBL教学对高职护生创新能力培养的研究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徐凌霞</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江苏护理</w:t>
            </w:r>
          </w:p>
          <w:p>
            <w:pPr>
              <w:widowControl/>
              <w:spacing w:line="300" w:lineRule="exact"/>
              <w:rPr>
                <w:rFonts w:ascii="仿宋" w:hAnsi="仿宋" w:eastAsia="仿宋" w:cs="仿宋"/>
                <w:bCs/>
                <w:szCs w:val="21"/>
              </w:rPr>
            </w:pPr>
            <w:r>
              <w:rPr>
                <w:rFonts w:hint="eastAsia" w:ascii="仿宋" w:hAnsi="仿宋" w:eastAsia="仿宋" w:cs="仿宋"/>
                <w:bCs/>
                <w:szCs w:val="21"/>
              </w:rPr>
              <w:t>职业学院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64</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新常态下的淮安地区新能源产业转型升级研究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陈  凌</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淮阴师范学院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65</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基于SEM的淮安市电动汽车推广影响因素研究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刘琼琼</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淮安信息职业技术学院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66</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新常态下淮安太阳能光伏产业发展研究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蒋青松</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淮阴工学院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67</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淮安市健康产业发展与对策研究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顾华玉</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江苏财经职业技术学院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68</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大数据背景下淮安市健康产业发展对策研究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常亚锋</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淮阴工学院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69</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体医融合背景下淮安市运动健康产业市场</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管培培</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市体育学会、江苏省淮安</w:t>
            </w:r>
          </w:p>
          <w:p>
            <w:pPr>
              <w:widowControl/>
              <w:spacing w:line="300" w:lineRule="exact"/>
              <w:rPr>
                <w:rFonts w:ascii="仿宋" w:hAnsi="仿宋" w:eastAsia="仿宋" w:cs="仿宋"/>
                <w:bCs/>
                <w:szCs w:val="21"/>
              </w:rPr>
            </w:pPr>
            <w:r>
              <w:rPr>
                <w:rFonts w:hint="eastAsia" w:ascii="仿宋" w:hAnsi="仿宋" w:eastAsia="仿宋" w:cs="仿宋"/>
                <w:bCs/>
                <w:szCs w:val="21"/>
              </w:rPr>
              <w:t>体育运动学校</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70</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淮安市康养产业发展规划研究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周凯歌</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淮阴师范学院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71</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民营资本参与淮安市机构养老的现状研究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刘  峰</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淮阴师范学院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72</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淮安“互联网+漕运文化创意产品”设计策略及开发研究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杨秋霞</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淮安信息职业技术学院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73</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淮安漕运文化创意产品设计与推广研究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吕  艳</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淮阴工学院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74</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开放互联视角下淮安漕运文化与城市化进程的耦合研究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陈  通</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江苏财经职业技术学院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75</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淮安漕运文化创意产品设计策略及开发研究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张沭宁</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淮阴师范学院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76</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淮安漕运文化创意产品设计策略及开发研究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杨其珍</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淮阴工学院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77</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地理标志商标路径下农产品品牌的培育与保护研究——以淮安地区为例</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陶中怡</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淮阴师范学院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78</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“乡村振兴”战略下淮安农业与农村发展对策研究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吴小伟</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淮阴师范学院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79</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“乡村振兴”战略下淮安农业与农村</w:t>
            </w:r>
          </w:p>
          <w:p>
            <w:pPr>
              <w:widowControl/>
              <w:spacing w:line="300" w:lineRule="exact"/>
              <w:rPr>
                <w:rFonts w:ascii="仿宋" w:hAnsi="仿宋" w:eastAsia="仿宋" w:cs="仿宋"/>
                <w:bCs/>
                <w:szCs w:val="21"/>
              </w:rPr>
            </w:pPr>
            <w:r>
              <w:rPr>
                <w:rFonts w:hint="eastAsia" w:ascii="仿宋" w:hAnsi="仿宋" w:eastAsia="仿宋" w:cs="仿宋"/>
                <w:bCs/>
                <w:szCs w:val="21"/>
              </w:rPr>
              <w:t>发展对策研究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张  荣</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江苏食品药品职业技术学院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80</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乡村振兴战略中新时代淮安市乡村规划编制逻辑研究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唐  乐</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淮阴工学院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81</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 xml:space="preserve">“乡村振兴”战略下基于组合推荐的淮安农产品电商平台构建的可行性研究  </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张海艳</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淮阴工学院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82</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“乡村振兴”战略下淮安市农村产业兴旺策略</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杨  松</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淮阴师范学院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83</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 xml:space="preserve">“乡村振兴”战略下淮安现代农业体系构建对策研究      </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黄君录</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淮安信息职业技术学院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84</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“乡村振兴”战略下淮安稻虾综合种养产业发展对策研究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何玉明</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市老科协</w:t>
            </w:r>
          </w:p>
          <w:p>
            <w:pPr>
              <w:widowControl/>
              <w:spacing w:line="300" w:lineRule="exact"/>
              <w:rPr>
                <w:rFonts w:ascii="仿宋" w:hAnsi="仿宋" w:eastAsia="仿宋" w:cs="仿宋"/>
                <w:bCs/>
                <w:szCs w:val="21"/>
              </w:rPr>
            </w:pPr>
            <w:r>
              <w:rPr>
                <w:rFonts w:hint="eastAsia" w:ascii="仿宋" w:hAnsi="仿宋" w:eastAsia="仿宋" w:cs="仿宋"/>
                <w:bCs/>
                <w:szCs w:val="21"/>
              </w:rPr>
              <w:t>农业分会</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85</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“乡村振兴”战略下淮安市农机技能人才培养途径的研究　</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柳立新</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市农机协、市农业机械试验鉴定推广站</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86</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淮安市农村环境卫生状况综合评价和特征分析</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杨  娟</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市预防医学会</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87</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2015～2017年淮安市农村区域供水水质卫生学效果动态评估</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骆善彩</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市预防医学会</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88</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体育运动对淮安市青少年心理健康的影响</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薛祝其</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市教育局</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89</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 xml:space="preserve">健康中国背景下通过体育运动提升淮安市青少年心理健康水平的研究　 </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庞建民</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市体育学会、江苏财经职业</w:t>
            </w:r>
          </w:p>
          <w:p>
            <w:pPr>
              <w:widowControl/>
              <w:spacing w:line="300" w:lineRule="exact"/>
              <w:rPr>
                <w:rFonts w:ascii="仿宋" w:hAnsi="仿宋" w:eastAsia="仿宋" w:cs="仿宋"/>
                <w:bCs/>
                <w:szCs w:val="21"/>
              </w:rPr>
            </w:pPr>
            <w:r>
              <w:rPr>
                <w:rFonts w:hint="eastAsia" w:ascii="仿宋" w:hAnsi="仿宋" w:eastAsia="仿宋" w:cs="仿宋"/>
                <w:bCs/>
                <w:szCs w:val="21"/>
              </w:rPr>
              <w:t>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90</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体育运动对淮安市青少年心理健康影响的研究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张明珠</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市体育学会、江苏省淮安体育运动学校</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91</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 xml:space="preserve">淮安市二级以上医疗卫生机构护理人力资源结构现状调查与需求分析                                </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赵彩霞</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江苏护理</w:t>
            </w:r>
          </w:p>
          <w:p>
            <w:pPr>
              <w:widowControl/>
              <w:spacing w:line="300" w:lineRule="exact"/>
              <w:rPr>
                <w:rFonts w:ascii="仿宋" w:hAnsi="仿宋" w:eastAsia="仿宋" w:cs="仿宋"/>
                <w:bCs/>
                <w:szCs w:val="21"/>
              </w:rPr>
            </w:pPr>
            <w:r>
              <w:rPr>
                <w:rFonts w:hint="eastAsia" w:ascii="仿宋" w:hAnsi="仿宋" w:eastAsia="仿宋" w:cs="仿宋"/>
                <w:bCs/>
                <w:szCs w:val="21"/>
              </w:rPr>
              <w:t>职业学院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92</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淮安市某三甲综合性医院卫生人力资源现状调查与分析</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田  璇</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淮安市第一</w:t>
            </w:r>
          </w:p>
          <w:p>
            <w:pPr>
              <w:widowControl/>
              <w:spacing w:line="300" w:lineRule="exact"/>
              <w:rPr>
                <w:rFonts w:ascii="仿宋" w:hAnsi="仿宋" w:eastAsia="仿宋" w:cs="仿宋"/>
                <w:bCs/>
                <w:szCs w:val="21"/>
              </w:rPr>
            </w:pPr>
            <w:r>
              <w:rPr>
                <w:rFonts w:hint="eastAsia" w:ascii="仿宋" w:hAnsi="仿宋" w:eastAsia="仿宋" w:cs="仿宋"/>
                <w:bCs/>
                <w:szCs w:val="21"/>
              </w:rPr>
              <w:t>人民医院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93</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时间研究法在公立医院人力资源配置中的应用</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李朝阳</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淮安市第一</w:t>
            </w:r>
          </w:p>
          <w:p>
            <w:pPr>
              <w:widowControl/>
              <w:spacing w:line="300" w:lineRule="exact"/>
              <w:rPr>
                <w:rFonts w:ascii="仿宋" w:hAnsi="仿宋" w:eastAsia="仿宋" w:cs="仿宋"/>
                <w:bCs/>
                <w:szCs w:val="21"/>
              </w:rPr>
            </w:pPr>
            <w:r>
              <w:rPr>
                <w:rFonts w:hint="eastAsia" w:ascii="仿宋" w:hAnsi="仿宋" w:eastAsia="仿宋" w:cs="仿宋"/>
                <w:bCs/>
                <w:szCs w:val="21"/>
              </w:rPr>
              <w:t>人民医院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94</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国家地表水环境质量监测网淮安考核断面水质评价与对策研究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陈业勤</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淮安信息职业技术学院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95</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基于淮安考核断面的地表水质评价方法研究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牛  赟</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淮阴师范学院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96</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国家地表水环境质量监测网淮安市考核断面水质评价与对策研究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陈玉柱</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淮安市环境</w:t>
            </w:r>
          </w:p>
          <w:p>
            <w:pPr>
              <w:widowControl/>
              <w:spacing w:line="300" w:lineRule="exact"/>
              <w:rPr>
                <w:rFonts w:ascii="仿宋" w:hAnsi="仿宋" w:eastAsia="仿宋" w:cs="仿宋"/>
                <w:bCs/>
                <w:szCs w:val="21"/>
              </w:rPr>
            </w:pPr>
            <w:r>
              <w:rPr>
                <w:rFonts w:hint="eastAsia" w:ascii="仿宋" w:hAnsi="仿宋" w:eastAsia="仿宋" w:cs="仿宋"/>
                <w:bCs/>
                <w:szCs w:val="21"/>
              </w:rPr>
              <w:t>监测中心站</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97</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基于大数据的淮安地表水质分析关键技术研究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毕艳茹</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淮安信息职业技术学院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98</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基于离子印迹技术的淮安市地表水重金属检测技术研究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王   露</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市预防医学会</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99</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“放管服”改革背景下淮安市企业投资项目“多评合一”的可行性与对策建议</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张玉磊</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淮阴师范学院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100</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应变对凹土微结构电、磁、光性能影响的研究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李冠男</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淮阴工学院</w:t>
            </w:r>
          </w:p>
          <w:p>
            <w:pPr>
              <w:widowControl/>
              <w:spacing w:line="300" w:lineRule="exact"/>
              <w:rPr>
                <w:rFonts w:ascii="仿宋" w:hAnsi="仿宋" w:eastAsia="仿宋" w:cs="仿宋"/>
                <w:bCs/>
                <w:szCs w:val="21"/>
              </w:rPr>
            </w:pPr>
            <w:r>
              <w:rPr>
                <w:rFonts w:hint="eastAsia" w:ascii="仿宋" w:hAnsi="仿宋" w:eastAsia="仿宋" w:cs="仿宋"/>
                <w:bCs/>
                <w:szCs w:val="21"/>
              </w:rPr>
              <w:t>数理学院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101</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地市级农科院所成果转化收益分配制度研究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王  露</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江苏徐淮地区淮阴农业科学研究所</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102</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基于决策效用与体验效用缺口理论的淮安市文明城市创建中市民文明行为促进对策研究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孟  桃</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淮阴师范学院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103</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关于加强财政环保资金管理提高资金使用效率推进生态文明建设持续发展的调查报告</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陆学秀</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市老科协</w:t>
            </w:r>
          </w:p>
          <w:p>
            <w:pPr>
              <w:widowControl/>
              <w:spacing w:line="300" w:lineRule="exact"/>
              <w:rPr>
                <w:rFonts w:ascii="仿宋" w:hAnsi="仿宋" w:eastAsia="仿宋" w:cs="仿宋"/>
                <w:bCs/>
                <w:szCs w:val="21"/>
              </w:rPr>
            </w:pPr>
            <w:r>
              <w:rPr>
                <w:rFonts w:hint="eastAsia" w:ascii="仿宋" w:hAnsi="仿宋" w:eastAsia="仿宋" w:cs="仿宋"/>
                <w:bCs/>
                <w:szCs w:val="21"/>
              </w:rPr>
              <w:t>财经分会</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104</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淮安汽车售后服务质量评价及提升策略研究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游  专</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淮安信息职业技术学院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105</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淮安市高教园区与区域经济互动发展研究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刘步中</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淮安信息职业技术学院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106</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淮安市教学装备产业质量提升对策研究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张  强</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淮安市产品质量监督综合</w:t>
            </w:r>
          </w:p>
          <w:p>
            <w:pPr>
              <w:widowControl/>
              <w:spacing w:line="300" w:lineRule="exact"/>
              <w:rPr>
                <w:rFonts w:ascii="仿宋" w:hAnsi="仿宋" w:eastAsia="仿宋" w:cs="仿宋"/>
                <w:bCs/>
                <w:szCs w:val="21"/>
              </w:rPr>
            </w:pPr>
            <w:r>
              <w:rPr>
                <w:rFonts w:hint="eastAsia" w:ascii="仿宋" w:hAnsi="仿宋" w:eastAsia="仿宋" w:cs="仿宋"/>
                <w:bCs/>
                <w:szCs w:val="21"/>
              </w:rPr>
              <w:t>检验中心</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107</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淮安先进制造业现状及发展路径研究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王成伟</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淮阴工学院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108</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淮安市特钢产业质量现状调查与质量提升分析</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李  彬</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淮安市产品质量监督综合</w:t>
            </w:r>
          </w:p>
          <w:p>
            <w:pPr>
              <w:widowControl/>
              <w:spacing w:line="300" w:lineRule="exact"/>
              <w:rPr>
                <w:rFonts w:ascii="仿宋" w:hAnsi="仿宋" w:eastAsia="仿宋" w:cs="仿宋"/>
                <w:bCs/>
                <w:szCs w:val="21"/>
              </w:rPr>
            </w:pPr>
            <w:r>
              <w:rPr>
                <w:rFonts w:hint="eastAsia" w:ascii="仿宋" w:hAnsi="仿宋" w:eastAsia="仿宋" w:cs="仿宋"/>
                <w:bCs/>
                <w:szCs w:val="21"/>
              </w:rPr>
              <w:t>检验中心</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109</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淮安市绿色食品加工中质量控制行为研究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殷沐林</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江苏食品药品职业技术学院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110</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淮安市盐化新材料产业绿色可持续发展的对策研究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牛雁宁</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南京林业大学（淮安校区）</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111</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 xml:space="preserve">淮安市新能源汽车消费者购买行为及促进对策研究 </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庄彦霞</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淮安信息职业技术学院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112</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新型建筑工业化技术研究与推广应用</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陈 胜</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淮安市清浦新区投资建设有限公司</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113</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夏热冬冷地区被动式超低能耗住宅建筑研究   以淮安为例</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吕雪松</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淮安信息职业技术学院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114</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学生、家长、学校三者的新型共生关系研究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尹洪辉</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淮阴师范学院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115</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追求高智商培养的环境现状对学生情商、意商的影响分析与补救对策</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徐  梅</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淮阴师范学院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116</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心理暗示训练对缓解中学生体育中考中长跑赛前状态和测试成绩的影响研究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余  锋</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淮阴师范学院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117</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经济新常态背景下大学生创业教育研究—以淮安市高校为例</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徐建丽</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淮安信息职业技术学院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118</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淮安市青少年健康突出问题及健康影响因素调查分析</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王炎炎</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市预防医学会</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119</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淮安市职业病防治机构能力现状调查</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何冬冬</w:t>
            </w:r>
          </w:p>
        </w:tc>
        <w:tc>
          <w:tcPr>
            <w:tcW w:w="159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市预防医学会</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textAlignment w:val="center"/>
              <w:rPr>
                <w:rFonts w:ascii="仿宋" w:hAnsi="仿宋" w:eastAsia="仿宋" w:cs="仿宋"/>
                <w:bCs/>
                <w:szCs w:val="21"/>
              </w:rPr>
            </w:pPr>
            <w:r>
              <w:rPr>
                <w:rFonts w:hint="eastAsia" w:ascii="宋体" w:hAnsi="宋体" w:cs="宋体"/>
                <w:color w:val="000000"/>
                <w:kern w:val="0"/>
                <w:sz w:val="22"/>
                <w:szCs w:val="22"/>
                <w:lang w:bidi="ar"/>
              </w:rPr>
              <w:t>120</w:t>
            </w:r>
          </w:p>
        </w:tc>
        <w:tc>
          <w:tcPr>
            <w:tcW w:w="2700" w:type="dxa"/>
            <w:vAlign w:val="center"/>
          </w:tcPr>
          <w:p>
            <w:pPr>
              <w:spacing w:line="300" w:lineRule="exact"/>
              <w:rPr>
                <w:rFonts w:ascii="仿宋" w:hAnsi="仿宋" w:eastAsia="仿宋" w:cs="仿宋"/>
                <w:bCs/>
                <w:szCs w:val="21"/>
              </w:rPr>
            </w:pPr>
            <w:r>
              <w:rPr>
                <w:rFonts w:hint="eastAsia" w:ascii="仿宋" w:hAnsi="仿宋" w:eastAsia="仿宋" w:cs="仿宋"/>
                <w:szCs w:val="21"/>
              </w:rPr>
              <w:t>淮安市四类人群梅毒预防知识知晓率调查研究</w:t>
            </w:r>
          </w:p>
        </w:tc>
        <w:tc>
          <w:tcPr>
            <w:tcW w:w="1410" w:type="dxa"/>
            <w:vAlign w:val="center"/>
          </w:tcPr>
          <w:p>
            <w:pPr>
              <w:spacing w:line="300" w:lineRule="exact"/>
              <w:jc w:val="center"/>
              <w:rPr>
                <w:rFonts w:ascii="仿宋" w:hAnsi="仿宋" w:eastAsia="仿宋" w:cs="仿宋"/>
                <w:bCs/>
                <w:szCs w:val="21"/>
              </w:rPr>
            </w:pPr>
            <w:r>
              <w:rPr>
                <w:rFonts w:hint="eastAsia" w:ascii="仿宋" w:hAnsi="仿宋" w:eastAsia="仿宋" w:cs="仿宋"/>
                <w:szCs w:val="21"/>
              </w:rPr>
              <w:t>赵鹏鹏</w:t>
            </w:r>
          </w:p>
        </w:tc>
        <w:tc>
          <w:tcPr>
            <w:tcW w:w="1590" w:type="dxa"/>
            <w:vAlign w:val="center"/>
          </w:tcPr>
          <w:p>
            <w:pPr>
              <w:spacing w:line="300" w:lineRule="exact"/>
              <w:jc w:val="center"/>
              <w:rPr>
                <w:rFonts w:ascii="仿宋" w:hAnsi="仿宋" w:eastAsia="仿宋" w:cs="仿宋"/>
                <w:bCs/>
                <w:szCs w:val="21"/>
              </w:rPr>
            </w:pPr>
            <w:r>
              <w:rPr>
                <w:rFonts w:hint="eastAsia" w:ascii="仿宋" w:hAnsi="仿宋" w:eastAsia="仿宋" w:cs="仿宋"/>
                <w:szCs w:val="21"/>
              </w:rPr>
              <w:t>市医学会</w:t>
            </w:r>
          </w:p>
        </w:tc>
        <w:tc>
          <w:tcPr>
            <w:tcW w:w="1515" w:type="dxa"/>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textAlignment w:val="center"/>
              <w:rPr>
                <w:rFonts w:ascii="仿宋" w:hAnsi="仿宋" w:eastAsia="仿宋" w:cs="仿宋"/>
                <w:bCs/>
                <w:szCs w:val="21"/>
              </w:rPr>
            </w:pPr>
            <w:r>
              <w:rPr>
                <w:rFonts w:hint="eastAsia" w:ascii="仿宋" w:hAnsi="仿宋" w:eastAsia="仿宋" w:cs="仿宋"/>
                <w:color w:val="000000"/>
                <w:kern w:val="0"/>
                <w:szCs w:val="21"/>
                <w:lang w:bidi="ar"/>
              </w:rPr>
              <w:t>121</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淮安市手足口病病原演变特征及手足口病再次罹患特征队列研究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高  强</w:t>
            </w:r>
          </w:p>
        </w:tc>
        <w:tc>
          <w:tcPr>
            <w:tcW w:w="159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市疾病预防</w:t>
            </w:r>
          </w:p>
          <w:p>
            <w:pPr>
              <w:widowControl/>
              <w:spacing w:line="300" w:lineRule="exact"/>
              <w:jc w:val="center"/>
              <w:rPr>
                <w:rFonts w:ascii="仿宋" w:hAnsi="仿宋" w:eastAsia="仿宋" w:cs="仿宋"/>
                <w:bCs/>
                <w:szCs w:val="21"/>
              </w:rPr>
            </w:pPr>
            <w:r>
              <w:rPr>
                <w:rFonts w:hint="eastAsia" w:ascii="仿宋" w:hAnsi="仿宋" w:eastAsia="仿宋" w:cs="仿宋"/>
                <w:bCs/>
                <w:szCs w:val="21"/>
              </w:rPr>
              <w:t>控制中心</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textAlignment w:val="center"/>
              <w:rPr>
                <w:rFonts w:ascii="仿宋" w:hAnsi="仿宋" w:eastAsia="仿宋" w:cs="仿宋"/>
                <w:bCs/>
                <w:szCs w:val="21"/>
              </w:rPr>
            </w:pPr>
            <w:r>
              <w:rPr>
                <w:rFonts w:hint="eastAsia" w:ascii="宋体" w:hAnsi="宋体" w:cs="宋体"/>
                <w:color w:val="000000"/>
                <w:kern w:val="0"/>
                <w:sz w:val="22"/>
                <w:szCs w:val="22"/>
                <w:lang w:bidi="ar"/>
              </w:rPr>
              <w:t>122</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运动处方对高职护生抑郁心理的干预研究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秦永亭</w:t>
            </w:r>
          </w:p>
        </w:tc>
        <w:tc>
          <w:tcPr>
            <w:tcW w:w="159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江苏护理</w:t>
            </w:r>
          </w:p>
          <w:p>
            <w:pPr>
              <w:widowControl/>
              <w:spacing w:line="300" w:lineRule="exact"/>
              <w:jc w:val="center"/>
              <w:rPr>
                <w:rFonts w:ascii="仿宋" w:hAnsi="仿宋" w:eastAsia="仿宋" w:cs="仿宋"/>
                <w:bCs/>
                <w:szCs w:val="21"/>
              </w:rPr>
            </w:pPr>
            <w:r>
              <w:rPr>
                <w:rFonts w:hint="eastAsia" w:ascii="仿宋" w:hAnsi="仿宋" w:eastAsia="仿宋" w:cs="仿宋"/>
                <w:bCs/>
                <w:szCs w:val="21"/>
              </w:rPr>
              <w:t>职业学院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textAlignment w:val="center"/>
              <w:rPr>
                <w:rFonts w:ascii="仿宋" w:hAnsi="仿宋" w:eastAsia="仿宋" w:cs="仿宋"/>
                <w:bCs/>
                <w:szCs w:val="21"/>
              </w:rPr>
            </w:pPr>
            <w:r>
              <w:rPr>
                <w:rFonts w:hint="eastAsia" w:ascii="宋体" w:hAnsi="宋体" w:cs="宋体"/>
                <w:color w:val="000000"/>
                <w:kern w:val="0"/>
                <w:sz w:val="22"/>
                <w:szCs w:val="22"/>
                <w:lang w:bidi="ar"/>
              </w:rPr>
              <w:t>123</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高职医学生电子健康素养现状与干预措施的研究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张筱晗</w:t>
            </w:r>
          </w:p>
        </w:tc>
        <w:tc>
          <w:tcPr>
            <w:tcW w:w="159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江苏护理</w:t>
            </w:r>
          </w:p>
          <w:p>
            <w:pPr>
              <w:widowControl/>
              <w:spacing w:line="300" w:lineRule="exact"/>
              <w:jc w:val="center"/>
              <w:rPr>
                <w:rFonts w:ascii="仿宋" w:hAnsi="仿宋" w:eastAsia="仿宋" w:cs="仿宋"/>
                <w:bCs/>
                <w:szCs w:val="21"/>
              </w:rPr>
            </w:pPr>
            <w:r>
              <w:rPr>
                <w:rFonts w:hint="eastAsia" w:ascii="仿宋" w:hAnsi="仿宋" w:eastAsia="仿宋" w:cs="仿宋"/>
                <w:bCs/>
                <w:szCs w:val="21"/>
              </w:rPr>
              <w:t>职业学院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textAlignment w:val="center"/>
              <w:rPr>
                <w:rFonts w:ascii="仿宋" w:hAnsi="仿宋" w:eastAsia="仿宋" w:cs="仿宋"/>
                <w:bCs/>
                <w:szCs w:val="21"/>
              </w:rPr>
            </w:pPr>
            <w:r>
              <w:rPr>
                <w:rFonts w:hint="eastAsia" w:ascii="仿宋" w:hAnsi="仿宋" w:eastAsia="仿宋" w:cs="仿宋"/>
                <w:color w:val="000000"/>
                <w:kern w:val="0"/>
                <w:szCs w:val="21"/>
                <w:lang w:bidi="ar"/>
              </w:rPr>
              <w:t>124</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淮安市碘盐标准调整前后碘营养状况分析</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赵海龙</w:t>
            </w:r>
          </w:p>
        </w:tc>
        <w:tc>
          <w:tcPr>
            <w:tcW w:w="159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市预防医学会</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textAlignment w:val="center"/>
              <w:rPr>
                <w:rFonts w:ascii="仿宋" w:hAnsi="仿宋" w:eastAsia="仿宋" w:cs="仿宋"/>
                <w:bCs/>
                <w:szCs w:val="21"/>
              </w:rPr>
            </w:pPr>
            <w:r>
              <w:rPr>
                <w:rFonts w:hint="eastAsia" w:ascii="仿宋" w:hAnsi="仿宋" w:eastAsia="仿宋" w:cs="仿宋"/>
                <w:color w:val="000000"/>
                <w:kern w:val="0"/>
                <w:szCs w:val="21"/>
                <w:lang w:bidi="ar"/>
              </w:rPr>
              <w:t>125</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szCs w:val="21"/>
              </w:rPr>
              <w:t>淮安市零售药店信息技术采纳影响因素实证研究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szCs w:val="21"/>
              </w:rPr>
              <w:t>张  苏</w:t>
            </w:r>
          </w:p>
        </w:tc>
        <w:tc>
          <w:tcPr>
            <w:tcW w:w="1590" w:type="dxa"/>
            <w:vAlign w:val="center"/>
          </w:tcPr>
          <w:p>
            <w:pPr>
              <w:widowControl/>
              <w:spacing w:line="300" w:lineRule="exact"/>
              <w:jc w:val="center"/>
              <w:rPr>
                <w:rFonts w:ascii="仿宋" w:hAnsi="仿宋" w:eastAsia="仿宋" w:cs="仿宋"/>
                <w:szCs w:val="21"/>
              </w:rPr>
            </w:pPr>
            <w:r>
              <w:rPr>
                <w:rFonts w:hint="eastAsia" w:ascii="仿宋" w:hAnsi="仿宋" w:eastAsia="仿宋" w:cs="仿宋"/>
                <w:szCs w:val="21"/>
              </w:rPr>
              <w:t>市计算机学会、江苏苏云医药管理</w:t>
            </w:r>
          </w:p>
          <w:p>
            <w:pPr>
              <w:widowControl/>
              <w:spacing w:line="300" w:lineRule="exact"/>
              <w:jc w:val="center"/>
              <w:rPr>
                <w:rFonts w:ascii="仿宋" w:hAnsi="仿宋" w:eastAsia="仿宋" w:cs="仿宋"/>
                <w:bCs/>
                <w:szCs w:val="21"/>
              </w:rPr>
            </w:pPr>
            <w:r>
              <w:rPr>
                <w:rFonts w:hint="eastAsia" w:ascii="仿宋" w:hAnsi="仿宋" w:eastAsia="仿宋" w:cs="仿宋"/>
                <w:szCs w:val="21"/>
              </w:rPr>
              <w:t>有限公司</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textAlignment w:val="center"/>
              <w:rPr>
                <w:rFonts w:ascii="仿宋" w:hAnsi="仿宋" w:eastAsia="仿宋" w:cs="仿宋"/>
                <w:bCs/>
                <w:szCs w:val="21"/>
              </w:rPr>
            </w:pPr>
            <w:r>
              <w:rPr>
                <w:rFonts w:hint="eastAsia" w:ascii="仿宋" w:hAnsi="仿宋" w:eastAsia="仿宋" w:cs="仿宋"/>
                <w:bCs/>
                <w:szCs w:val="21"/>
              </w:rPr>
              <w:t>126</w:t>
            </w:r>
          </w:p>
        </w:tc>
        <w:tc>
          <w:tcPr>
            <w:tcW w:w="2700" w:type="dxa"/>
            <w:vAlign w:val="center"/>
          </w:tcPr>
          <w:p>
            <w:pPr>
              <w:spacing w:line="300" w:lineRule="exact"/>
              <w:rPr>
                <w:rFonts w:ascii="仿宋" w:hAnsi="仿宋" w:eastAsia="仿宋" w:cs="仿宋"/>
                <w:bCs/>
                <w:szCs w:val="21"/>
              </w:rPr>
            </w:pPr>
            <w:r>
              <w:rPr>
                <w:rFonts w:hint="eastAsia" w:ascii="仿宋" w:hAnsi="仿宋" w:eastAsia="仿宋" w:cs="仿宋"/>
                <w:szCs w:val="21"/>
              </w:rPr>
              <w:t>老龄化背景下城市老年代步车交通安全改善策略研究</w:t>
            </w:r>
          </w:p>
        </w:tc>
        <w:tc>
          <w:tcPr>
            <w:tcW w:w="1410" w:type="dxa"/>
            <w:vAlign w:val="center"/>
          </w:tcPr>
          <w:p>
            <w:pPr>
              <w:spacing w:line="300" w:lineRule="exact"/>
              <w:jc w:val="center"/>
              <w:rPr>
                <w:rFonts w:ascii="仿宋" w:hAnsi="仿宋" w:eastAsia="仿宋" w:cs="仿宋"/>
                <w:bCs/>
                <w:szCs w:val="21"/>
              </w:rPr>
            </w:pPr>
            <w:r>
              <w:rPr>
                <w:rFonts w:hint="eastAsia" w:ascii="仿宋" w:hAnsi="仿宋" w:eastAsia="仿宋" w:cs="仿宋"/>
                <w:szCs w:val="21"/>
              </w:rPr>
              <w:t>胡思涛</w:t>
            </w:r>
          </w:p>
        </w:tc>
        <w:tc>
          <w:tcPr>
            <w:tcW w:w="1590"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市交通工程</w:t>
            </w:r>
          </w:p>
          <w:p>
            <w:pPr>
              <w:spacing w:line="300" w:lineRule="exact"/>
              <w:jc w:val="center"/>
              <w:rPr>
                <w:rFonts w:ascii="仿宋" w:hAnsi="仿宋" w:eastAsia="仿宋" w:cs="仿宋"/>
                <w:bCs/>
                <w:szCs w:val="21"/>
              </w:rPr>
            </w:pPr>
            <w:r>
              <w:rPr>
                <w:rFonts w:hint="eastAsia" w:ascii="仿宋" w:hAnsi="仿宋" w:eastAsia="仿宋" w:cs="仿宋"/>
                <w:szCs w:val="21"/>
              </w:rPr>
              <w:t>学会</w:t>
            </w:r>
          </w:p>
        </w:tc>
        <w:tc>
          <w:tcPr>
            <w:tcW w:w="1515" w:type="dxa"/>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textAlignment w:val="center"/>
              <w:rPr>
                <w:rFonts w:ascii="仿宋" w:hAnsi="仿宋" w:eastAsia="仿宋" w:cs="仿宋"/>
                <w:bCs/>
                <w:szCs w:val="21"/>
              </w:rPr>
            </w:pPr>
            <w:r>
              <w:rPr>
                <w:rFonts w:hint="eastAsia" w:ascii="仿宋" w:hAnsi="仿宋" w:eastAsia="仿宋" w:cs="仿宋"/>
                <w:color w:val="000000"/>
                <w:kern w:val="0"/>
                <w:szCs w:val="21"/>
                <w:lang w:bidi="ar"/>
              </w:rPr>
              <w:t>127</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szCs w:val="21"/>
              </w:rPr>
              <w:t>有轨电车沿线地表沉降监测可行性研究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陶叶青</w:t>
            </w:r>
          </w:p>
        </w:tc>
        <w:tc>
          <w:tcPr>
            <w:tcW w:w="1590" w:type="dxa"/>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淮阴师范学院</w:t>
            </w:r>
          </w:p>
        </w:tc>
        <w:tc>
          <w:tcPr>
            <w:tcW w:w="1515" w:type="dxa"/>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textAlignment w:val="center"/>
              <w:rPr>
                <w:rFonts w:ascii="仿宋" w:hAnsi="仿宋" w:eastAsia="仿宋" w:cs="仿宋"/>
                <w:bCs/>
                <w:szCs w:val="21"/>
              </w:rPr>
            </w:pPr>
            <w:r>
              <w:rPr>
                <w:rFonts w:hint="eastAsia" w:ascii="宋体" w:hAnsi="宋体" w:cs="宋体"/>
                <w:color w:val="000000"/>
                <w:kern w:val="0"/>
                <w:sz w:val="22"/>
                <w:szCs w:val="22"/>
                <w:lang w:bidi="ar"/>
              </w:rPr>
              <w:t>128</w:t>
            </w:r>
          </w:p>
        </w:tc>
        <w:tc>
          <w:tcPr>
            <w:tcW w:w="2700" w:type="dxa"/>
            <w:vAlign w:val="center"/>
          </w:tcPr>
          <w:p>
            <w:pPr>
              <w:spacing w:line="300" w:lineRule="exact"/>
              <w:rPr>
                <w:rFonts w:ascii="仿宋" w:hAnsi="仿宋" w:eastAsia="仿宋" w:cs="仿宋"/>
                <w:bCs/>
                <w:szCs w:val="21"/>
              </w:rPr>
            </w:pPr>
            <w:r>
              <w:rPr>
                <w:rFonts w:hint="eastAsia" w:ascii="仿宋" w:hAnsi="仿宋" w:eastAsia="仿宋" w:cs="仿宋"/>
                <w:szCs w:val="21"/>
              </w:rPr>
              <w:t>虚拟现实技术在气象行业中的应用前景分析</w:t>
            </w:r>
          </w:p>
        </w:tc>
        <w:tc>
          <w:tcPr>
            <w:tcW w:w="1410" w:type="dxa"/>
            <w:vAlign w:val="center"/>
          </w:tcPr>
          <w:p>
            <w:pPr>
              <w:spacing w:line="300" w:lineRule="exact"/>
              <w:jc w:val="center"/>
              <w:rPr>
                <w:rFonts w:ascii="仿宋" w:hAnsi="仿宋" w:eastAsia="仿宋" w:cs="仿宋"/>
                <w:bCs/>
                <w:szCs w:val="21"/>
              </w:rPr>
            </w:pPr>
            <w:r>
              <w:rPr>
                <w:rFonts w:hint="eastAsia" w:ascii="仿宋" w:hAnsi="仿宋" w:eastAsia="仿宋" w:cs="仿宋"/>
                <w:szCs w:val="21"/>
              </w:rPr>
              <w:t>宋昊冬</w:t>
            </w:r>
          </w:p>
        </w:tc>
        <w:tc>
          <w:tcPr>
            <w:tcW w:w="1590" w:type="dxa"/>
            <w:vAlign w:val="center"/>
          </w:tcPr>
          <w:p>
            <w:pPr>
              <w:spacing w:line="300" w:lineRule="exact"/>
              <w:jc w:val="center"/>
              <w:rPr>
                <w:rFonts w:ascii="仿宋" w:hAnsi="仿宋" w:eastAsia="仿宋" w:cs="仿宋"/>
                <w:bCs/>
                <w:szCs w:val="21"/>
              </w:rPr>
            </w:pPr>
            <w:r>
              <w:rPr>
                <w:rFonts w:hint="eastAsia" w:ascii="仿宋" w:hAnsi="仿宋" w:eastAsia="仿宋" w:cs="仿宋"/>
                <w:szCs w:val="21"/>
              </w:rPr>
              <w:t>市气象学会（淮安市气象局）</w:t>
            </w:r>
          </w:p>
        </w:tc>
        <w:tc>
          <w:tcPr>
            <w:tcW w:w="1515" w:type="dxa"/>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textAlignment w:val="center"/>
              <w:rPr>
                <w:rFonts w:ascii="仿宋" w:hAnsi="仿宋" w:eastAsia="仿宋" w:cs="仿宋"/>
                <w:bCs/>
                <w:szCs w:val="21"/>
              </w:rPr>
            </w:pPr>
            <w:r>
              <w:rPr>
                <w:rFonts w:hint="eastAsia" w:ascii="宋体" w:hAnsi="宋体" w:cs="宋体"/>
                <w:color w:val="000000"/>
                <w:kern w:val="0"/>
                <w:sz w:val="22"/>
                <w:szCs w:val="22"/>
                <w:lang w:bidi="ar"/>
              </w:rPr>
              <w:t>129</w:t>
            </w:r>
          </w:p>
        </w:tc>
        <w:tc>
          <w:tcPr>
            <w:tcW w:w="2700" w:type="dxa"/>
            <w:vAlign w:val="center"/>
          </w:tcPr>
          <w:p>
            <w:pPr>
              <w:spacing w:line="300" w:lineRule="exact"/>
              <w:rPr>
                <w:rFonts w:ascii="仿宋" w:hAnsi="仿宋" w:eastAsia="仿宋" w:cs="仿宋"/>
                <w:bCs/>
                <w:szCs w:val="21"/>
              </w:rPr>
            </w:pPr>
            <w:r>
              <w:rPr>
                <w:rFonts w:hint="eastAsia" w:ascii="仿宋" w:hAnsi="仿宋" w:eastAsia="仿宋" w:cs="仿宋"/>
                <w:szCs w:val="21"/>
              </w:rPr>
              <w:t>淮安市城镇化进程中新市民信息行为特征与社区信息服务策略研究</w:t>
            </w:r>
          </w:p>
        </w:tc>
        <w:tc>
          <w:tcPr>
            <w:tcW w:w="1410" w:type="dxa"/>
            <w:vAlign w:val="center"/>
          </w:tcPr>
          <w:p>
            <w:pPr>
              <w:spacing w:line="300" w:lineRule="exact"/>
              <w:jc w:val="center"/>
              <w:rPr>
                <w:rFonts w:ascii="仿宋" w:hAnsi="仿宋" w:eastAsia="仿宋" w:cs="仿宋"/>
                <w:bCs/>
                <w:szCs w:val="21"/>
              </w:rPr>
            </w:pPr>
            <w:r>
              <w:rPr>
                <w:rFonts w:hint="eastAsia" w:ascii="仿宋" w:hAnsi="仿宋" w:eastAsia="仿宋" w:cs="仿宋"/>
                <w:szCs w:val="21"/>
              </w:rPr>
              <w:t>王秀丽</w:t>
            </w:r>
          </w:p>
        </w:tc>
        <w:tc>
          <w:tcPr>
            <w:tcW w:w="1590" w:type="dxa"/>
            <w:vAlign w:val="center"/>
          </w:tcPr>
          <w:p>
            <w:pPr>
              <w:spacing w:line="300" w:lineRule="exact"/>
              <w:jc w:val="center"/>
              <w:rPr>
                <w:rFonts w:ascii="仿宋" w:hAnsi="仿宋" w:eastAsia="仿宋" w:cs="仿宋"/>
                <w:bCs/>
                <w:szCs w:val="21"/>
              </w:rPr>
            </w:pPr>
            <w:r>
              <w:rPr>
                <w:rFonts w:hint="eastAsia" w:ascii="仿宋" w:hAnsi="仿宋" w:eastAsia="仿宋" w:cs="仿宋"/>
                <w:szCs w:val="21"/>
              </w:rPr>
              <w:t>淮阴工学院</w:t>
            </w:r>
          </w:p>
        </w:tc>
        <w:tc>
          <w:tcPr>
            <w:tcW w:w="1515" w:type="dxa"/>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textAlignment w:val="center"/>
              <w:rPr>
                <w:rFonts w:ascii="仿宋" w:hAnsi="仿宋" w:eastAsia="仿宋" w:cs="仿宋"/>
                <w:bCs/>
                <w:szCs w:val="21"/>
              </w:rPr>
            </w:pPr>
            <w:r>
              <w:rPr>
                <w:rFonts w:hint="eastAsia" w:ascii="宋体" w:hAnsi="宋体" w:cs="宋体"/>
                <w:color w:val="000000"/>
                <w:kern w:val="0"/>
                <w:sz w:val="22"/>
                <w:szCs w:val="22"/>
                <w:lang w:bidi="ar"/>
              </w:rPr>
              <w:t>130</w:t>
            </w:r>
          </w:p>
        </w:tc>
        <w:tc>
          <w:tcPr>
            <w:tcW w:w="2700" w:type="dxa"/>
            <w:vAlign w:val="center"/>
          </w:tcPr>
          <w:p>
            <w:pPr>
              <w:spacing w:line="300" w:lineRule="exact"/>
              <w:rPr>
                <w:rFonts w:ascii="仿宋" w:hAnsi="仿宋" w:eastAsia="仿宋" w:cs="仿宋"/>
                <w:bCs/>
                <w:szCs w:val="21"/>
              </w:rPr>
            </w:pPr>
            <w:r>
              <w:rPr>
                <w:rFonts w:hint="eastAsia" w:ascii="仿宋" w:hAnsi="仿宋" w:eastAsia="仿宋" w:cs="仿宋"/>
                <w:szCs w:val="21"/>
              </w:rPr>
              <w:t>地方高校图书馆社会化服务调查与研究——以驻淮安高校为例</w:t>
            </w:r>
          </w:p>
        </w:tc>
        <w:tc>
          <w:tcPr>
            <w:tcW w:w="1410" w:type="dxa"/>
            <w:vAlign w:val="center"/>
          </w:tcPr>
          <w:p>
            <w:pPr>
              <w:spacing w:line="300" w:lineRule="exact"/>
              <w:jc w:val="center"/>
              <w:rPr>
                <w:rFonts w:ascii="仿宋" w:hAnsi="仿宋" w:eastAsia="仿宋" w:cs="仿宋"/>
                <w:bCs/>
                <w:szCs w:val="21"/>
              </w:rPr>
            </w:pPr>
            <w:r>
              <w:rPr>
                <w:rFonts w:hint="eastAsia" w:ascii="仿宋" w:hAnsi="仿宋" w:eastAsia="仿宋" w:cs="仿宋"/>
                <w:szCs w:val="21"/>
              </w:rPr>
              <w:t>吴  越</w:t>
            </w:r>
          </w:p>
        </w:tc>
        <w:tc>
          <w:tcPr>
            <w:tcW w:w="1590" w:type="dxa"/>
            <w:vAlign w:val="center"/>
          </w:tcPr>
          <w:p>
            <w:pPr>
              <w:spacing w:line="300" w:lineRule="exact"/>
              <w:jc w:val="center"/>
              <w:rPr>
                <w:rFonts w:ascii="仿宋" w:hAnsi="仿宋" w:eastAsia="仿宋" w:cs="仿宋"/>
                <w:szCs w:val="21"/>
              </w:rPr>
            </w:pPr>
            <w:r>
              <w:rPr>
                <w:rFonts w:hint="eastAsia" w:ascii="仿宋" w:hAnsi="仿宋" w:eastAsia="仿宋" w:cs="仿宋"/>
                <w:szCs w:val="21"/>
              </w:rPr>
              <w:t>江苏护理</w:t>
            </w:r>
          </w:p>
          <w:p>
            <w:pPr>
              <w:spacing w:line="300" w:lineRule="exact"/>
              <w:jc w:val="center"/>
              <w:rPr>
                <w:rFonts w:ascii="仿宋" w:hAnsi="仿宋" w:eastAsia="仿宋" w:cs="仿宋"/>
                <w:bCs/>
                <w:szCs w:val="21"/>
              </w:rPr>
            </w:pPr>
            <w:r>
              <w:rPr>
                <w:rFonts w:hint="eastAsia" w:ascii="仿宋" w:hAnsi="仿宋" w:eastAsia="仿宋" w:cs="仿宋"/>
                <w:szCs w:val="21"/>
              </w:rPr>
              <w:t>职业学院</w:t>
            </w:r>
          </w:p>
        </w:tc>
        <w:tc>
          <w:tcPr>
            <w:tcW w:w="1515" w:type="dxa"/>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textAlignment w:val="center"/>
              <w:rPr>
                <w:rFonts w:ascii="仿宋" w:hAnsi="仿宋" w:eastAsia="仿宋" w:cs="仿宋"/>
                <w:bCs/>
                <w:szCs w:val="21"/>
              </w:rPr>
            </w:pPr>
            <w:r>
              <w:rPr>
                <w:rFonts w:hint="eastAsia" w:ascii="仿宋" w:hAnsi="仿宋" w:eastAsia="仿宋" w:cs="仿宋"/>
                <w:color w:val="000000"/>
                <w:kern w:val="0"/>
                <w:szCs w:val="21"/>
                <w:lang w:bidi="ar"/>
              </w:rPr>
              <w:t>131</w:t>
            </w:r>
          </w:p>
        </w:tc>
        <w:tc>
          <w:tcPr>
            <w:tcW w:w="2700" w:type="dxa"/>
            <w:vAlign w:val="center"/>
          </w:tcPr>
          <w:p>
            <w:pPr>
              <w:spacing w:line="300" w:lineRule="exact"/>
              <w:rPr>
                <w:rFonts w:ascii="仿宋" w:hAnsi="仿宋" w:eastAsia="仿宋" w:cs="仿宋"/>
                <w:bCs/>
                <w:szCs w:val="21"/>
              </w:rPr>
            </w:pPr>
            <w:r>
              <w:rPr>
                <w:rFonts w:hint="eastAsia" w:ascii="仿宋" w:hAnsi="仿宋" w:eastAsia="仿宋" w:cs="仿宋"/>
                <w:szCs w:val="21"/>
              </w:rPr>
              <w:t>新形势下“图书馆+”模式的实践与思考</w:t>
            </w:r>
          </w:p>
        </w:tc>
        <w:tc>
          <w:tcPr>
            <w:tcW w:w="1410" w:type="dxa"/>
            <w:vAlign w:val="center"/>
          </w:tcPr>
          <w:p>
            <w:pPr>
              <w:spacing w:line="300" w:lineRule="exact"/>
              <w:jc w:val="center"/>
              <w:rPr>
                <w:rFonts w:ascii="仿宋" w:hAnsi="仿宋" w:eastAsia="仿宋" w:cs="仿宋"/>
                <w:bCs/>
                <w:szCs w:val="21"/>
              </w:rPr>
            </w:pPr>
            <w:r>
              <w:rPr>
                <w:rFonts w:hint="eastAsia" w:ascii="仿宋" w:hAnsi="仿宋" w:eastAsia="仿宋" w:cs="仿宋"/>
                <w:szCs w:val="21"/>
              </w:rPr>
              <w:t>王冬梅</w:t>
            </w:r>
          </w:p>
        </w:tc>
        <w:tc>
          <w:tcPr>
            <w:tcW w:w="1590" w:type="dxa"/>
            <w:vAlign w:val="center"/>
          </w:tcPr>
          <w:p>
            <w:pPr>
              <w:spacing w:line="300" w:lineRule="exact"/>
              <w:jc w:val="center"/>
              <w:rPr>
                <w:rFonts w:ascii="仿宋" w:hAnsi="仿宋" w:eastAsia="仿宋" w:cs="仿宋"/>
                <w:bCs/>
                <w:szCs w:val="21"/>
              </w:rPr>
            </w:pPr>
            <w:r>
              <w:rPr>
                <w:rFonts w:hint="eastAsia" w:ascii="仿宋" w:hAnsi="仿宋" w:eastAsia="仿宋" w:cs="仿宋"/>
                <w:szCs w:val="21"/>
              </w:rPr>
              <w:t>淮安市图书馆</w:t>
            </w:r>
          </w:p>
        </w:tc>
        <w:tc>
          <w:tcPr>
            <w:tcW w:w="1515" w:type="dxa"/>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textAlignment w:val="center"/>
              <w:rPr>
                <w:rFonts w:ascii="仿宋" w:hAnsi="仿宋" w:eastAsia="仿宋" w:cs="仿宋"/>
                <w:bCs/>
                <w:szCs w:val="21"/>
              </w:rPr>
            </w:pPr>
            <w:r>
              <w:rPr>
                <w:rFonts w:hint="eastAsia" w:ascii="仿宋" w:hAnsi="仿宋" w:eastAsia="仿宋" w:cs="仿宋"/>
                <w:color w:val="000000"/>
                <w:kern w:val="0"/>
                <w:szCs w:val="21"/>
                <w:lang w:bidi="ar"/>
              </w:rPr>
              <w:t>132</w:t>
            </w:r>
          </w:p>
        </w:tc>
        <w:tc>
          <w:tcPr>
            <w:tcW w:w="2700" w:type="dxa"/>
            <w:vAlign w:val="center"/>
          </w:tcPr>
          <w:p>
            <w:pPr>
              <w:spacing w:line="300" w:lineRule="exact"/>
              <w:rPr>
                <w:rFonts w:ascii="仿宋" w:hAnsi="仿宋" w:eastAsia="仿宋" w:cs="仿宋"/>
                <w:bCs/>
                <w:szCs w:val="21"/>
              </w:rPr>
            </w:pPr>
            <w:r>
              <w:rPr>
                <w:rFonts w:hint="eastAsia" w:ascii="仿宋" w:hAnsi="仿宋" w:eastAsia="仿宋" w:cs="仿宋"/>
                <w:szCs w:val="21"/>
              </w:rPr>
              <w:t>播撒阅读的种子——淮安市0-6岁早期阅读推广计划</w:t>
            </w:r>
          </w:p>
        </w:tc>
        <w:tc>
          <w:tcPr>
            <w:tcW w:w="1410" w:type="dxa"/>
            <w:vAlign w:val="center"/>
          </w:tcPr>
          <w:p>
            <w:pPr>
              <w:spacing w:line="300" w:lineRule="exact"/>
              <w:jc w:val="center"/>
              <w:rPr>
                <w:rFonts w:ascii="仿宋" w:hAnsi="仿宋" w:eastAsia="仿宋" w:cs="仿宋"/>
                <w:bCs/>
                <w:szCs w:val="21"/>
              </w:rPr>
            </w:pPr>
            <w:r>
              <w:rPr>
                <w:rFonts w:hint="eastAsia" w:ascii="仿宋" w:hAnsi="仿宋" w:eastAsia="仿宋" w:cs="仿宋"/>
                <w:szCs w:val="21"/>
              </w:rPr>
              <w:t>郑晓霞</w:t>
            </w:r>
          </w:p>
        </w:tc>
        <w:tc>
          <w:tcPr>
            <w:tcW w:w="1590" w:type="dxa"/>
            <w:vAlign w:val="center"/>
          </w:tcPr>
          <w:p>
            <w:pPr>
              <w:spacing w:line="300" w:lineRule="exact"/>
              <w:jc w:val="center"/>
              <w:rPr>
                <w:rFonts w:ascii="仿宋" w:hAnsi="仿宋" w:eastAsia="仿宋" w:cs="仿宋"/>
                <w:bCs/>
                <w:szCs w:val="21"/>
              </w:rPr>
            </w:pPr>
            <w:r>
              <w:rPr>
                <w:rFonts w:hint="eastAsia" w:ascii="仿宋" w:hAnsi="仿宋" w:eastAsia="仿宋" w:cs="仿宋"/>
                <w:szCs w:val="21"/>
              </w:rPr>
              <w:t>淮安市图书馆</w:t>
            </w:r>
          </w:p>
        </w:tc>
        <w:tc>
          <w:tcPr>
            <w:tcW w:w="1515" w:type="dxa"/>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textAlignment w:val="center"/>
              <w:rPr>
                <w:rFonts w:ascii="仿宋" w:hAnsi="仿宋" w:eastAsia="仿宋" w:cs="仿宋"/>
                <w:bCs/>
                <w:szCs w:val="21"/>
              </w:rPr>
            </w:pPr>
            <w:r>
              <w:rPr>
                <w:rFonts w:hint="eastAsia" w:ascii="宋体" w:hAnsi="宋体" w:cs="宋体"/>
                <w:color w:val="000000"/>
                <w:kern w:val="0"/>
                <w:sz w:val="22"/>
                <w:szCs w:val="22"/>
                <w:lang w:bidi="ar"/>
              </w:rPr>
              <w:t>133</w:t>
            </w:r>
          </w:p>
        </w:tc>
        <w:tc>
          <w:tcPr>
            <w:tcW w:w="2700" w:type="dxa"/>
            <w:vAlign w:val="center"/>
          </w:tcPr>
          <w:p>
            <w:pPr>
              <w:spacing w:line="300" w:lineRule="exact"/>
              <w:rPr>
                <w:rFonts w:ascii="仿宋" w:hAnsi="仿宋" w:eastAsia="仿宋" w:cs="仿宋"/>
                <w:bCs/>
                <w:szCs w:val="21"/>
              </w:rPr>
            </w:pPr>
            <w:r>
              <w:rPr>
                <w:rFonts w:hint="eastAsia" w:ascii="仿宋" w:hAnsi="仿宋" w:eastAsia="仿宋" w:cs="仿宋"/>
                <w:szCs w:val="21"/>
              </w:rPr>
              <w:t>构建图书馆服务联合体模式研究——以淮安地区图书馆为例</w:t>
            </w:r>
          </w:p>
        </w:tc>
        <w:tc>
          <w:tcPr>
            <w:tcW w:w="1410" w:type="dxa"/>
            <w:vAlign w:val="center"/>
          </w:tcPr>
          <w:p>
            <w:pPr>
              <w:spacing w:line="300" w:lineRule="exact"/>
              <w:jc w:val="center"/>
              <w:rPr>
                <w:rFonts w:ascii="仿宋" w:hAnsi="仿宋" w:eastAsia="仿宋" w:cs="仿宋"/>
                <w:bCs/>
                <w:szCs w:val="21"/>
              </w:rPr>
            </w:pPr>
            <w:r>
              <w:rPr>
                <w:rFonts w:hint="eastAsia" w:ascii="仿宋" w:hAnsi="仿宋" w:eastAsia="仿宋" w:cs="仿宋"/>
                <w:szCs w:val="21"/>
              </w:rPr>
              <w:t>唐  红</w:t>
            </w:r>
          </w:p>
        </w:tc>
        <w:tc>
          <w:tcPr>
            <w:tcW w:w="1590" w:type="dxa"/>
            <w:vAlign w:val="center"/>
          </w:tcPr>
          <w:p>
            <w:pPr>
              <w:spacing w:line="300" w:lineRule="exact"/>
              <w:jc w:val="center"/>
              <w:rPr>
                <w:rFonts w:ascii="仿宋" w:hAnsi="仿宋" w:eastAsia="仿宋" w:cs="仿宋"/>
                <w:bCs/>
                <w:szCs w:val="21"/>
              </w:rPr>
            </w:pPr>
            <w:r>
              <w:rPr>
                <w:rFonts w:hint="eastAsia" w:ascii="仿宋" w:hAnsi="仿宋" w:eastAsia="仿宋" w:cs="仿宋"/>
                <w:szCs w:val="21"/>
              </w:rPr>
              <w:t>淮安市图书馆</w:t>
            </w:r>
          </w:p>
        </w:tc>
        <w:tc>
          <w:tcPr>
            <w:tcW w:w="1515" w:type="dxa"/>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textAlignment w:val="center"/>
              <w:rPr>
                <w:rFonts w:ascii="仿宋" w:hAnsi="仿宋" w:eastAsia="仿宋" w:cs="仿宋"/>
                <w:bCs/>
                <w:szCs w:val="21"/>
              </w:rPr>
            </w:pPr>
            <w:r>
              <w:rPr>
                <w:rFonts w:hint="eastAsia" w:ascii="宋体" w:hAnsi="宋体" w:cs="宋体"/>
                <w:color w:val="000000"/>
                <w:kern w:val="0"/>
                <w:sz w:val="22"/>
                <w:szCs w:val="22"/>
                <w:lang w:bidi="ar"/>
              </w:rPr>
              <w:t>134</w:t>
            </w:r>
          </w:p>
        </w:tc>
        <w:tc>
          <w:tcPr>
            <w:tcW w:w="2700" w:type="dxa"/>
            <w:vAlign w:val="center"/>
          </w:tcPr>
          <w:p>
            <w:pPr>
              <w:pStyle w:val="2"/>
              <w:spacing w:line="300" w:lineRule="exact"/>
              <w:rPr>
                <w:rFonts w:ascii="仿宋" w:hAnsi="仿宋" w:eastAsia="仿宋" w:cs="仿宋"/>
                <w:bCs/>
              </w:rPr>
            </w:pPr>
            <w:r>
              <w:rPr>
                <w:rFonts w:hint="eastAsia" w:ascii="仿宋" w:hAnsi="仿宋" w:eastAsia="仿宋" w:cs="仿宋"/>
                <w:bCs/>
              </w:rPr>
              <w:t>区域发展视野下淮安地方文献协同构建研究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szCs w:val="21"/>
              </w:rPr>
              <w:t>周久凤</w:t>
            </w:r>
          </w:p>
        </w:tc>
        <w:tc>
          <w:tcPr>
            <w:tcW w:w="159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szCs w:val="21"/>
              </w:rPr>
              <w:t>淮阴师范学院</w:t>
            </w:r>
          </w:p>
        </w:tc>
        <w:tc>
          <w:tcPr>
            <w:tcW w:w="1515"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textAlignment w:val="center"/>
              <w:rPr>
                <w:rFonts w:ascii="仿宋" w:hAnsi="仿宋" w:eastAsia="仿宋" w:cs="仿宋"/>
                <w:bCs/>
                <w:szCs w:val="21"/>
              </w:rPr>
            </w:pPr>
            <w:r>
              <w:rPr>
                <w:rFonts w:hint="eastAsia" w:ascii="仿宋" w:hAnsi="仿宋" w:eastAsia="仿宋" w:cs="仿宋"/>
                <w:bCs/>
                <w:szCs w:val="21"/>
              </w:rPr>
              <w:t>135</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周恩来研究专题库中灰色文献的收集与建库研究</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szCs w:val="21"/>
              </w:rPr>
              <w:t>郑燕平</w:t>
            </w:r>
          </w:p>
        </w:tc>
        <w:tc>
          <w:tcPr>
            <w:tcW w:w="1590" w:type="dxa"/>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淮阴师范学院</w:t>
            </w:r>
          </w:p>
        </w:tc>
        <w:tc>
          <w:tcPr>
            <w:tcW w:w="1515" w:type="dxa"/>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1104" w:type="dxa"/>
            <w:vAlign w:val="center"/>
          </w:tcPr>
          <w:p>
            <w:pPr>
              <w:widowControl/>
              <w:spacing w:line="300" w:lineRule="exact"/>
              <w:jc w:val="center"/>
              <w:textAlignment w:val="center"/>
              <w:rPr>
                <w:rFonts w:ascii="仿宋" w:hAnsi="仿宋" w:eastAsia="仿宋" w:cs="仿宋"/>
                <w:bCs/>
                <w:szCs w:val="21"/>
              </w:rPr>
            </w:pPr>
            <w:r>
              <w:rPr>
                <w:rFonts w:hint="eastAsia" w:ascii="仿宋" w:hAnsi="仿宋" w:eastAsia="仿宋" w:cs="仿宋"/>
                <w:bCs/>
                <w:szCs w:val="21"/>
              </w:rPr>
              <w:t>136</w:t>
            </w:r>
          </w:p>
        </w:tc>
        <w:tc>
          <w:tcPr>
            <w:tcW w:w="2700" w:type="dxa"/>
            <w:vAlign w:val="center"/>
          </w:tcPr>
          <w:p>
            <w:pPr>
              <w:widowControl/>
              <w:spacing w:line="300" w:lineRule="exact"/>
              <w:rPr>
                <w:rFonts w:ascii="仿宋" w:hAnsi="仿宋" w:eastAsia="仿宋" w:cs="仿宋"/>
                <w:bCs/>
                <w:szCs w:val="21"/>
              </w:rPr>
            </w:pPr>
            <w:r>
              <w:rPr>
                <w:rFonts w:hint="eastAsia" w:ascii="仿宋" w:hAnsi="仿宋" w:eastAsia="仿宋" w:cs="仿宋"/>
                <w:bCs/>
                <w:szCs w:val="21"/>
              </w:rPr>
              <w:t>淮安市中医药、中西医结合人才队伍建设、作用状况调研</w:t>
            </w:r>
          </w:p>
        </w:tc>
        <w:tc>
          <w:tcPr>
            <w:tcW w:w="1410" w:type="dxa"/>
            <w:vAlign w:val="center"/>
          </w:tcPr>
          <w:p>
            <w:pPr>
              <w:widowControl/>
              <w:spacing w:line="300" w:lineRule="exact"/>
              <w:jc w:val="center"/>
              <w:rPr>
                <w:rFonts w:ascii="仿宋" w:hAnsi="仿宋" w:eastAsia="仿宋" w:cs="仿宋"/>
                <w:bCs/>
                <w:szCs w:val="21"/>
              </w:rPr>
            </w:pPr>
            <w:r>
              <w:rPr>
                <w:rFonts w:hint="eastAsia" w:ascii="仿宋" w:hAnsi="仿宋" w:eastAsia="仿宋" w:cs="仿宋"/>
                <w:szCs w:val="21"/>
              </w:rPr>
              <w:t>蒋莉</w:t>
            </w:r>
          </w:p>
        </w:tc>
        <w:tc>
          <w:tcPr>
            <w:tcW w:w="1590" w:type="dxa"/>
            <w:vAlign w:val="center"/>
          </w:tcPr>
          <w:p>
            <w:pPr>
              <w:spacing w:line="300" w:lineRule="exact"/>
              <w:jc w:val="center"/>
              <w:rPr>
                <w:rFonts w:ascii="仿宋" w:hAnsi="仿宋" w:eastAsia="仿宋" w:cs="仿宋"/>
                <w:bCs/>
                <w:szCs w:val="21"/>
              </w:rPr>
            </w:pPr>
            <w:r>
              <w:rPr>
                <w:rFonts w:hint="eastAsia" w:ascii="仿宋" w:hAnsi="仿宋" w:eastAsia="仿宋" w:cs="仿宋"/>
                <w:szCs w:val="21"/>
              </w:rPr>
              <w:t>市</w:t>
            </w:r>
            <w:r>
              <w:rPr>
                <w:rFonts w:ascii="仿宋" w:hAnsi="仿宋" w:eastAsia="仿宋" w:cs="仿宋"/>
                <w:szCs w:val="21"/>
              </w:rPr>
              <w:t>中西医结合学会</w:t>
            </w:r>
          </w:p>
        </w:tc>
        <w:tc>
          <w:tcPr>
            <w:tcW w:w="1515" w:type="dxa"/>
            <w:vAlign w:val="center"/>
          </w:tcPr>
          <w:p>
            <w:pPr>
              <w:spacing w:line="300" w:lineRule="exact"/>
              <w:jc w:val="center"/>
              <w:rPr>
                <w:rFonts w:ascii="仿宋" w:hAnsi="仿宋" w:eastAsia="仿宋" w:cs="仿宋"/>
                <w:bCs/>
                <w:szCs w:val="21"/>
              </w:rPr>
            </w:pPr>
            <w:r>
              <w:rPr>
                <w:rFonts w:hint="eastAsia" w:ascii="仿宋" w:hAnsi="仿宋" w:eastAsia="仿宋" w:cs="仿宋"/>
                <w:bCs/>
                <w:szCs w:val="21"/>
              </w:rPr>
              <w:t>立项不资助</w:t>
            </w:r>
          </w:p>
        </w:tc>
      </w:tr>
    </w:tbl>
    <w:p>
      <w:pPr>
        <w:widowControl/>
        <w:jc w:val="center"/>
        <w:rPr>
          <w:rFonts w:ascii="宋体" w:hAnsi="宋体" w:cs="Courier New"/>
          <w:b/>
          <w:sz w:val="36"/>
          <w:szCs w:val="36"/>
        </w:rPr>
      </w:pPr>
    </w:p>
    <w:p>
      <w:pPr>
        <w:spacing w:line="440" w:lineRule="exact"/>
        <w:ind w:right="1270"/>
        <w:rPr>
          <w:rFonts w:hint="eastAsia" w:ascii="仿宋" w:hAnsi="仿宋" w:eastAsia="仿宋"/>
          <w:sz w:val="32"/>
          <w:szCs w:val="32"/>
        </w:rPr>
      </w:pPr>
    </w:p>
    <w:p/>
    <w:sectPr>
      <w:pgSz w:w="11906" w:h="16838"/>
      <w:pgMar w:top="1701" w:right="1134"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00BC0"/>
    <w:rsid w:val="09A00BC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tfpc\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2018-08-17T06:12:00Z</dcterms:created>
  <dc:creator>十八子</dc:creator>
  <cp:lastModifiedBy>十八子</cp:lastModifiedBy>
  <dcterms:modified xsi:type="dcterms:W3CDTF">2018-08-17T06:13:18Z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