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w:t>
      </w:r>
    </w:p>
    <w:p>
      <w:pPr>
        <w:widowControl/>
        <w:jc w:val="center"/>
        <w:rPr>
          <w:rFonts w:hint="eastAsia" w:ascii="宋体" w:hAnsi="宋体" w:cs="Courier New"/>
          <w:b/>
          <w:sz w:val="36"/>
          <w:szCs w:val="36"/>
        </w:rPr>
      </w:pPr>
      <w:bookmarkStart w:id="0" w:name="_GoBack"/>
      <w:r>
        <w:rPr>
          <w:rFonts w:hint="eastAsia" w:ascii="宋体" w:hAnsi="宋体" w:cs="Courier New"/>
          <w:b/>
          <w:bCs/>
          <w:sz w:val="36"/>
          <w:szCs w:val="36"/>
        </w:rPr>
        <w:t>2018年度淮安市自然科学软课题入围项目一览表</w:t>
      </w:r>
    </w:p>
    <w:bookmarkEnd w:id="0"/>
    <w:tbl>
      <w:tblPr>
        <w:tblStyle w:val="4"/>
        <w:tblpPr w:leftFromText="180" w:rightFromText="180" w:vertAnchor="page" w:horzAnchor="page" w:tblpX="1965" w:tblpY="3078"/>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00"/>
        <w:gridCol w:w="1410"/>
        <w:gridCol w:w="15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Align w:val="center"/>
          </w:tcPr>
          <w:p>
            <w:pPr>
              <w:widowControl/>
              <w:spacing w:line="300" w:lineRule="exact"/>
              <w:jc w:val="center"/>
              <w:rPr>
                <w:rFonts w:ascii="黑体" w:hAnsi="宋体" w:eastAsia="黑体" w:cs="Courier New"/>
                <w:bCs/>
                <w:sz w:val="28"/>
                <w:szCs w:val="28"/>
              </w:rPr>
            </w:pPr>
            <w:r>
              <w:rPr>
                <w:rFonts w:hint="eastAsia" w:ascii="黑体" w:hAnsi="宋体" w:eastAsia="黑体" w:cs="Courier New"/>
                <w:bCs/>
                <w:sz w:val="28"/>
                <w:szCs w:val="28"/>
              </w:rPr>
              <w:t>序号</w:t>
            </w:r>
          </w:p>
        </w:tc>
        <w:tc>
          <w:tcPr>
            <w:tcW w:w="2700" w:type="dxa"/>
            <w:vAlign w:val="center"/>
          </w:tcPr>
          <w:p>
            <w:pPr>
              <w:widowControl/>
              <w:spacing w:line="300" w:lineRule="exact"/>
              <w:ind w:left="-246" w:leftChars="-117" w:firstLine="246" w:firstLineChars="88"/>
              <w:jc w:val="center"/>
              <w:rPr>
                <w:rFonts w:ascii="黑体" w:hAnsi="宋体" w:eastAsia="黑体" w:cs="Courier New"/>
                <w:bCs/>
                <w:sz w:val="28"/>
                <w:szCs w:val="28"/>
              </w:rPr>
            </w:pPr>
            <w:r>
              <w:rPr>
                <w:rFonts w:hint="eastAsia" w:ascii="黑体" w:hAnsi="宋体" w:eastAsia="黑体" w:cs="Courier New"/>
                <w:bCs/>
                <w:sz w:val="28"/>
                <w:szCs w:val="28"/>
              </w:rPr>
              <w:t>项目名称</w:t>
            </w:r>
          </w:p>
        </w:tc>
        <w:tc>
          <w:tcPr>
            <w:tcW w:w="1410" w:type="dxa"/>
            <w:vAlign w:val="center"/>
          </w:tcPr>
          <w:p>
            <w:pPr>
              <w:widowControl/>
              <w:spacing w:line="300" w:lineRule="exact"/>
              <w:jc w:val="center"/>
              <w:rPr>
                <w:rFonts w:ascii="黑体" w:hAnsi="宋体" w:eastAsia="黑体" w:cs="Courier New"/>
                <w:bCs/>
                <w:sz w:val="28"/>
                <w:szCs w:val="28"/>
              </w:rPr>
            </w:pPr>
            <w:r>
              <w:rPr>
                <w:rFonts w:hint="eastAsia" w:ascii="黑体" w:hAnsi="宋体" w:eastAsia="黑体" w:cs="Courier New"/>
                <w:bCs/>
                <w:sz w:val="28"/>
                <w:szCs w:val="28"/>
              </w:rPr>
              <w:t>项  目</w:t>
            </w:r>
          </w:p>
          <w:p>
            <w:pPr>
              <w:widowControl/>
              <w:spacing w:line="300" w:lineRule="exact"/>
              <w:jc w:val="center"/>
              <w:rPr>
                <w:rFonts w:ascii="黑体" w:hAnsi="宋体" w:eastAsia="黑体" w:cs="Courier New"/>
                <w:bCs/>
                <w:sz w:val="28"/>
                <w:szCs w:val="28"/>
              </w:rPr>
            </w:pPr>
            <w:r>
              <w:rPr>
                <w:rFonts w:hint="eastAsia" w:ascii="黑体" w:hAnsi="宋体" w:eastAsia="黑体" w:cs="Courier New"/>
                <w:bCs/>
                <w:sz w:val="28"/>
                <w:szCs w:val="28"/>
              </w:rPr>
              <w:t>负责人</w:t>
            </w:r>
          </w:p>
        </w:tc>
        <w:tc>
          <w:tcPr>
            <w:tcW w:w="1590" w:type="dxa"/>
            <w:vAlign w:val="center"/>
          </w:tcPr>
          <w:p>
            <w:pPr>
              <w:widowControl/>
              <w:spacing w:line="300" w:lineRule="exact"/>
              <w:jc w:val="center"/>
              <w:rPr>
                <w:rFonts w:ascii="黑体" w:hAnsi="宋体" w:eastAsia="黑体" w:cs="Courier New"/>
                <w:bCs/>
                <w:sz w:val="28"/>
                <w:szCs w:val="28"/>
              </w:rPr>
            </w:pPr>
            <w:r>
              <w:rPr>
                <w:rFonts w:hint="eastAsia" w:ascii="黑体" w:hAnsi="宋体" w:eastAsia="黑体" w:cs="Courier New"/>
                <w:bCs/>
                <w:sz w:val="28"/>
                <w:szCs w:val="28"/>
              </w:rPr>
              <w:t>所在单位</w:t>
            </w:r>
          </w:p>
        </w:tc>
        <w:tc>
          <w:tcPr>
            <w:tcW w:w="1515" w:type="dxa"/>
            <w:vAlign w:val="center"/>
          </w:tcPr>
          <w:p>
            <w:pPr>
              <w:widowControl/>
              <w:spacing w:line="300" w:lineRule="exact"/>
              <w:jc w:val="center"/>
              <w:rPr>
                <w:rFonts w:ascii="黑体" w:hAnsi="宋体" w:eastAsia="黑体" w:cs="Courier New"/>
                <w:bCs/>
                <w:sz w:val="28"/>
                <w:szCs w:val="28"/>
              </w:rPr>
            </w:pPr>
            <w:r>
              <w:rPr>
                <w:rFonts w:hint="eastAsia" w:ascii="黑体" w:hAnsi="宋体" w:eastAsia="黑体" w:cs="Courier New"/>
                <w:bCs/>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淮安市建设航空货运枢纽对策研究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庞进亮</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市物流学会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新常态下的淮安市新能源汽车产业转型升级研究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陈玉华</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重点资助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高速铁路对淮安市旅游空间结构的影响及优化策略研究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王雪梅</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市工程师学会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关于淮安市食品产业技术协同创新联盟的创新驱动体制机制研究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田其英</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淮安运河饮食文化内涵挖掘与产业化发展研究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王咏梅</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淮安漕运文化创意产品设计策略及开发研究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许云飞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淮安市农产品品牌化路径研究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楚  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中共淮安市委党校</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淮安市县域生态建设与经济竞争力协同发展研究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陈彩虹</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一般资助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大运河文化带视角下我市运河文化遗产资源库设计与实现</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赵洪波</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基于科技前瞻之淮安市科技创新能力提升路径</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陈大仁</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市交通工程</w:t>
            </w:r>
          </w:p>
          <w:p>
            <w:pPr>
              <w:widowControl/>
              <w:spacing w:line="300" w:lineRule="exact"/>
              <w:rPr>
                <w:rFonts w:ascii="仿宋" w:hAnsi="仿宋" w:eastAsia="仿宋" w:cs="仿宋"/>
                <w:bCs/>
                <w:szCs w:val="21"/>
              </w:rPr>
            </w:pPr>
            <w:r>
              <w:rPr>
                <w:rFonts w:hint="eastAsia" w:ascii="仿宋" w:hAnsi="仿宋" w:eastAsia="仿宋" w:cs="仿宋"/>
                <w:bCs/>
                <w:szCs w:val="21"/>
              </w:rPr>
              <w:t>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论苏北科技人才环境提升工程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管永刚</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市数控学会、</w:t>
            </w:r>
          </w:p>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中学生科技创新能力培养的研究与实践</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朱益民</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淮阴师范学院附属中学</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淮安运河饮食文化再挖掘，助力打造大运河文化带</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董道顺</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基于供应链战略协同的淮安农产品品牌化途径建设研究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白卫东</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江苏财经职业技术学院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淮安市农村环境卫生状况及解决对策研究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李  兵</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江淮地区淮安市县域农村人居环境质量评价及空间分异研究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王月香</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放管服改革背景下淮安市企业投资项目“多评合一”的可行性研究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张守美</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淮安市行政</w:t>
            </w:r>
          </w:p>
          <w:p>
            <w:pPr>
              <w:widowControl/>
              <w:spacing w:line="300" w:lineRule="exact"/>
              <w:rPr>
                <w:rFonts w:ascii="仿宋" w:hAnsi="仿宋" w:eastAsia="仿宋" w:cs="仿宋"/>
                <w:bCs/>
                <w:szCs w:val="21"/>
              </w:rPr>
            </w:pPr>
            <w:r>
              <w:rPr>
                <w:rFonts w:hint="eastAsia" w:ascii="仿宋" w:hAnsi="仿宋" w:eastAsia="仿宋" w:cs="仿宋"/>
                <w:bCs/>
                <w:szCs w:val="21"/>
              </w:rPr>
              <w:t>审批局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高职院校实施“技能脱贫行动”的有效对策研究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周  奎</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专项资助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“一区两带”视域下淮安“水文化”传承与城市建设的耦合研究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  姝</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市水利局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淮安大运河水工程文化遗产保护与利用研究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潘光杰</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市水利局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基于大数据平台淮安大运河水工程文化遗产的保护与利用研究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侯  林</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碳量子点大运河文化遗址渗漏检测中应用的可行性研究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彭宁波</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淮安市水利建设中的“水文化+旅游”模式探索研究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尤其中</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市水利局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全媒体时代运河文化的传承与弘扬研究——以大运河淮安段非物质文化遗产为例</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崔  静</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互联网+淮安地域文化展示策略研究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王桂霞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推进“红色旅游，游在淮安”视角下的  体育旅游产业整合与可持续发展策略研究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陈立富</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基于旅游者视角下的淮安红色景区景观雕塑设计与研究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汤海英</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p>
            <w:pPr>
              <w:widowControl/>
              <w:spacing w:line="300" w:lineRule="exact"/>
              <w:rPr>
                <w:rFonts w:ascii="仿宋" w:hAnsi="仿宋" w:eastAsia="仿宋" w:cs="仿宋"/>
                <w:bCs/>
                <w:szCs w:val="21"/>
              </w:rPr>
            </w:pPr>
            <w:r>
              <w:rPr>
                <w:rFonts w:hint="eastAsia" w:ascii="仿宋" w:hAnsi="仿宋" w:eastAsia="仿宋" w:cs="仿宋"/>
                <w:bCs/>
                <w:szCs w:val="21"/>
              </w:rPr>
              <w:t>设计艺术学院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大运河文化视阈下淮安城市环境陶艺发展策略研究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朱汇洋</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29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“互联网+”背景下淮安特色文创产品开发研究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高  燕</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淮安市漕运建筑文化元素在旅游纪念品中的设计应用研究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吴  颖</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新时代红色文化融入青年学生理想信念教育研究——以淮安红色文化为例</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单莹坤</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淮安地域文化在高校思想政治教育中的应用研究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季进军</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淮安智慧文化建设和发展的对策研究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王兰芳</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市计算机学会、淮阴</w:t>
            </w:r>
          </w:p>
          <w:p>
            <w:pPr>
              <w:widowControl/>
              <w:spacing w:line="300" w:lineRule="exact"/>
              <w:rPr>
                <w:rFonts w:ascii="仿宋" w:hAnsi="仿宋" w:eastAsia="仿宋" w:cs="仿宋"/>
                <w:bCs/>
                <w:szCs w:val="21"/>
              </w:rPr>
            </w:pPr>
            <w:r>
              <w:rPr>
                <w:rFonts w:hint="eastAsia" w:ascii="仿宋" w:hAnsi="仿宋" w:eastAsia="仿宋" w:cs="仿宋"/>
                <w:bCs/>
                <w:szCs w:val="21"/>
              </w:rPr>
              <w:t>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协同共建背景下高校校园文化与地方优秀文化的融合研究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程桂练</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p>
            <w:pPr>
              <w:widowControl/>
              <w:spacing w:line="300" w:lineRule="exact"/>
              <w:rPr>
                <w:rFonts w:ascii="仿宋" w:hAnsi="仿宋" w:eastAsia="仿宋" w:cs="仿宋"/>
                <w:bCs/>
                <w:szCs w:val="21"/>
              </w:rPr>
            </w:pPr>
            <w:r>
              <w:rPr>
                <w:rFonts w:hint="eastAsia" w:ascii="仿宋" w:hAnsi="仿宋" w:eastAsia="仿宋" w:cs="仿宋"/>
                <w:bCs/>
                <w:szCs w:val="21"/>
              </w:rPr>
              <w:t>图书馆</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淮安市里运河文化资源研究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谭  进</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淮安市图书馆</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运河文化地方课程开发和实践研究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薛祝其</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市教育局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劳动力成本上升对淮安市劳动密集型企业的影响研究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刘奎武</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利用工业机器人应对劳动力成本上升对劳动密集型企业的影响</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  帅</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39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劳动力成本上升背景下劳动密集型产业升级的路径研究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庄小将</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江苏财经职业技术学院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劳动力成本上升对淮安地区台资企业发展的影响和预测研究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林鹏举</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市交通工程</w:t>
            </w:r>
          </w:p>
          <w:p>
            <w:pPr>
              <w:widowControl/>
              <w:spacing w:line="300" w:lineRule="exact"/>
              <w:rPr>
                <w:rFonts w:ascii="仿宋" w:hAnsi="仿宋" w:eastAsia="仿宋" w:cs="仿宋"/>
                <w:bCs/>
                <w:szCs w:val="21"/>
              </w:rPr>
            </w:pPr>
            <w:r>
              <w:rPr>
                <w:rFonts w:hint="eastAsia" w:ascii="仿宋" w:hAnsi="仿宋" w:eastAsia="仿宋" w:cs="仿宋"/>
                <w:bCs/>
                <w:szCs w:val="21"/>
              </w:rPr>
              <w:t>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淮安应对高铁时代对策研究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万玉龙</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高铁背景下的淮安客运对策研究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张其龙</w:t>
            </w:r>
          </w:p>
          <w:p>
            <w:pPr>
              <w:widowControl/>
              <w:spacing w:line="300" w:lineRule="exact"/>
              <w:jc w:val="center"/>
              <w:rPr>
                <w:rFonts w:ascii="仿宋" w:hAnsi="仿宋" w:eastAsia="仿宋" w:cs="仿宋"/>
                <w:bCs/>
                <w:szCs w:val="21"/>
              </w:rPr>
            </w:pPr>
            <w:r>
              <w:rPr>
                <w:rFonts w:hint="eastAsia" w:ascii="仿宋" w:hAnsi="仿宋" w:eastAsia="仿宋" w:cs="仿宋"/>
                <w:bCs/>
                <w:szCs w:val="21"/>
              </w:rPr>
              <w:t>包   旭</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淮安市交通运输局、淮阴</w:t>
            </w:r>
          </w:p>
          <w:p>
            <w:pPr>
              <w:widowControl/>
              <w:spacing w:line="300" w:lineRule="exact"/>
              <w:rPr>
                <w:rFonts w:ascii="仿宋" w:hAnsi="仿宋" w:eastAsia="仿宋" w:cs="仿宋"/>
                <w:bCs/>
                <w:szCs w:val="21"/>
              </w:rPr>
            </w:pPr>
            <w:r>
              <w:rPr>
                <w:rFonts w:hint="eastAsia" w:ascii="仿宋" w:hAnsi="仿宋" w:eastAsia="仿宋" w:cs="仿宋"/>
                <w:bCs/>
                <w:szCs w:val="21"/>
              </w:rPr>
              <w:t>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高铁时代背景下淮安区域经济发展及对策研究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郭建华　　雍洪宝</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市绿色建筑与建筑节能协会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高速铁路时代淮安城市交通发展对策研究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孙华圣</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淮安高铁快运发展战略规划研究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段文扬</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淮安市铁路</w:t>
            </w:r>
          </w:p>
          <w:p>
            <w:pPr>
              <w:widowControl/>
              <w:spacing w:line="300" w:lineRule="exact"/>
              <w:rPr>
                <w:rFonts w:ascii="仿宋" w:hAnsi="仿宋" w:eastAsia="仿宋" w:cs="仿宋"/>
                <w:bCs/>
                <w:szCs w:val="21"/>
              </w:rPr>
            </w:pPr>
            <w:r>
              <w:rPr>
                <w:rFonts w:hint="eastAsia" w:ascii="仿宋" w:hAnsi="仿宋" w:eastAsia="仿宋" w:cs="仿宋"/>
                <w:bCs/>
                <w:szCs w:val="21"/>
              </w:rPr>
              <w:t>建设办公室</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淮安高铁时代“1+X+N”的产业体系研究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顾理琴</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淮安市科技创新能力评估与提升路径研究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乔  琪</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淮安市科技创新能力评价与提升研究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边  巍</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江苏财经职业技术学院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49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淮安市科技进步统计监测体系及方法研究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  嘉</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淮安市科技进步统计监测体系研究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唐  成</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淮安市科学技术情报研究所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淮安地区科研评价及机制构建研究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高本领</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市物理学会、淮阴工学院</w:t>
            </w:r>
          </w:p>
          <w:p>
            <w:pPr>
              <w:widowControl/>
              <w:spacing w:line="300" w:lineRule="exact"/>
              <w:rPr>
                <w:rFonts w:ascii="仿宋" w:hAnsi="仿宋" w:eastAsia="仿宋" w:cs="仿宋"/>
                <w:bCs/>
                <w:szCs w:val="21"/>
              </w:rPr>
            </w:pPr>
            <w:r>
              <w:rPr>
                <w:rFonts w:hint="eastAsia" w:ascii="仿宋" w:hAnsi="仿宋" w:eastAsia="仿宋" w:cs="仿宋"/>
                <w:bCs/>
                <w:szCs w:val="21"/>
              </w:rPr>
              <w:t>数理学院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淮安市众创空间运行绩效评估体系构建研究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叶  畅</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大数据背景下高校科研管理的新对策</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朱守丽</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基于云计算的交通状态监控与预测平台方案研究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苏红艳</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高校人才培养视角下进一步提升我市产才融合的路径研究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王志勃</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中学生科技创新能力培养的研究与实践</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  斌</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“一带一路”和“数字化转型”双重背景下淮安市ICT国际化人才培养模式的探索</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于正永</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职校学生科技创新能力培养的研究与实践</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韩玉娟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淮安市高级职业技术学校</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59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以数学建模为抓手的中学生科技创新能力培养的研究与思考</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郭  嵩</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淮安市大学生创新创业能力培养的研究与实践</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马玲玲</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基于XR技术培育和提升创新力的研究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刘尚勤</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市计算机学会、淮阴</w:t>
            </w:r>
          </w:p>
          <w:p>
            <w:pPr>
              <w:widowControl/>
              <w:spacing w:line="300" w:lineRule="exact"/>
              <w:rPr>
                <w:rFonts w:ascii="仿宋" w:hAnsi="仿宋" w:eastAsia="仿宋" w:cs="仿宋"/>
                <w:bCs/>
                <w:szCs w:val="21"/>
              </w:rPr>
            </w:pPr>
            <w:r>
              <w:rPr>
                <w:rFonts w:hint="eastAsia" w:ascii="仿宋" w:hAnsi="仿宋" w:eastAsia="仿宋" w:cs="仿宋"/>
                <w:bCs/>
                <w:szCs w:val="21"/>
              </w:rPr>
              <w:t>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创客教育在中小学教学中的应用研究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张谷一</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江苏书妙翰缘科技发展</w:t>
            </w:r>
          </w:p>
          <w:p>
            <w:pPr>
              <w:widowControl/>
              <w:spacing w:line="300" w:lineRule="exact"/>
              <w:rPr>
                <w:rFonts w:ascii="仿宋" w:hAnsi="仿宋" w:eastAsia="仿宋" w:cs="仿宋"/>
                <w:bCs/>
                <w:szCs w:val="21"/>
              </w:rPr>
            </w:pPr>
            <w:r>
              <w:rPr>
                <w:rFonts w:hint="eastAsia" w:ascii="仿宋" w:hAnsi="仿宋" w:eastAsia="仿宋" w:cs="仿宋"/>
                <w:bCs/>
                <w:szCs w:val="21"/>
              </w:rPr>
              <w:t>有限公司</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CBL教学对高职护生创新能力培养的研究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徐凌霞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江苏护理</w:t>
            </w:r>
          </w:p>
          <w:p>
            <w:pPr>
              <w:widowControl/>
              <w:spacing w:line="300" w:lineRule="exact"/>
              <w:rPr>
                <w:rFonts w:ascii="仿宋" w:hAnsi="仿宋" w:eastAsia="仿宋" w:cs="仿宋"/>
                <w:bCs/>
                <w:szCs w:val="21"/>
              </w:rPr>
            </w:pPr>
            <w:r>
              <w:rPr>
                <w:rFonts w:hint="eastAsia" w:ascii="仿宋" w:hAnsi="仿宋" w:eastAsia="仿宋" w:cs="仿宋"/>
                <w:bCs/>
                <w:szCs w:val="21"/>
              </w:rPr>
              <w:t>职业学院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新常态下的淮安地区新能源产业转型升级研究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  凌</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基于SEM的淮安市电动汽车推广影响因素研究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刘琼琼</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新常态下淮安太阳能光伏产业发展研究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蒋青松</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淮安市健康产业发展与对策研究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顾华玉</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江苏财经职业技术学院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大数据背景下淮安市健康产业发展对策研究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常亚锋</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69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体医融合背景下淮安市运动健康产业市场</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管培培</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市体育学会、江苏省淮安</w:t>
            </w:r>
          </w:p>
          <w:p>
            <w:pPr>
              <w:widowControl/>
              <w:spacing w:line="300" w:lineRule="exact"/>
              <w:rPr>
                <w:rFonts w:ascii="仿宋" w:hAnsi="仿宋" w:eastAsia="仿宋" w:cs="仿宋"/>
                <w:bCs/>
                <w:szCs w:val="21"/>
              </w:rPr>
            </w:pPr>
            <w:r>
              <w:rPr>
                <w:rFonts w:hint="eastAsia" w:ascii="仿宋" w:hAnsi="仿宋" w:eastAsia="仿宋" w:cs="仿宋"/>
                <w:bCs/>
                <w:szCs w:val="21"/>
              </w:rPr>
              <w:t>体育运动学校</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淮安市康养产业发展规划研究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周凯歌</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民营资本参与淮安市机构养老的现状研究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  峰</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淮安“互联网+漕运文化创意产品”设计策略及开发研究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杨秋霞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淮安漕运文化创意产品设计与推广研究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吕  艳</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开放互联视角下淮安漕运文化与城市化进程的耦合研究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  通</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江苏财经职业技术学院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淮安漕运文化创意产品设计策略及开发研究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张沭宁</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淮安漕运文化创意产品设计策略及开发研究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杨其珍</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地理标志商标路径下农产品品牌的培育与保护研究——以淮安地区为例</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陶中怡</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“乡村振兴”战略下淮安农业与农村发展对策研究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吴小伟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79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“乡村振兴”战略下淮安农业与农村</w:t>
            </w:r>
          </w:p>
          <w:p>
            <w:pPr>
              <w:widowControl/>
              <w:spacing w:line="300" w:lineRule="exact"/>
              <w:rPr>
                <w:rFonts w:ascii="仿宋" w:hAnsi="仿宋" w:eastAsia="仿宋" w:cs="仿宋"/>
                <w:bCs/>
                <w:szCs w:val="21"/>
              </w:rPr>
            </w:pPr>
            <w:r>
              <w:rPr>
                <w:rFonts w:hint="eastAsia" w:ascii="仿宋" w:hAnsi="仿宋" w:eastAsia="仿宋" w:cs="仿宋"/>
                <w:bCs/>
                <w:szCs w:val="21"/>
              </w:rPr>
              <w:t>发展对策研究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  荣</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乡村振兴战略中新时代淮安市乡村规划编制逻辑研究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唐  乐</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“乡村振兴”战略下基于组合推荐的淮安农产品电商平台构建的可行性研究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张海艳</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“乡村振兴”战略下淮安市农村产业兴旺策略</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  松</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“乡村振兴”战略下淮安现代农业体系构建对策研究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黄君录</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“乡村振兴”战略下淮安稻虾综合种养产业发展对策研究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何玉明</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市老科协</w:t>
            </w:r>
          </w:p>
          <w:p>
            <w:pPr>
              <w:widowControl/>
              <w:spacing w:line="300" w:lineRule="exact"/>
              <w:rPr>
                <w:rFonts w:ascii="仿宋" w:hAnsi="仿宋" w:eastAsia="仿宋" w:cs="仿宋"/>
                <w:bCs/>
                <w:szCs w:val="21"/>
              </w:rPr>
            </w:pPr>
            <w:r>
              <w:rPr>
                <w:rFonts w:hint="eastAsia" w:ascii="仿宋" w:hAnsi="仿宋" w:eastAsia="仿宋" w:cs="仿宋"/>
                <w:bCs/>
                <w:szCs w:val="21"/>
              </w:rPr>
              <w:t>农业分会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“乡村振兴”战略下淮安市农机技能人才培养途径的研究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柳立新</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市农机协、市农业机械试验鉴定推广站</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淮安市农村环境卫生状况综合评价和特征分析</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杨  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2015～2017年淮安市农村区域供水水质卫生学效果动态评估</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骆善彩</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体育运动对淮安市青少年心理健康的影响</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薛祝其</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市教育局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89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健康中国背景下通过体育运动提升淮安市青少年心理健康水平的研究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庞建民</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市体育学会、江苏财经职业</w:t>
            </w:r>
          </w:p>
          <w:p>
            <w:pPr>
              <w:widowControl/>
              <w:spacing w:line="300" w:lineRule="exact"/>
              <w:rPr>
                <w:rFonts w:ascii="仿宋" w:hAnsi="仿宋" w:eastAsia="仿宋" w:cs="仿宋"/>
                <w:bCs/>
                <w:szCs w:val="21"/>
              </w:rPr>
            </w:pPr>
            <w:r>
              <w:rPr>
                <w:rFonts w:hint="eastAsia" w:ascii="仿宋" w:hAnsi="仿宋" w:eastAsia="仿宋" w:cs="仿宋"/>
                <w:bCs/>
                <w:szCs w:val="21"/>
              </w:rPr>
              <w:t>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体育运动对淮安市青少年心理健康影响的研究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张明珠</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市体育学会、江苏省淮安体育运动学校</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淮安市二级以上医疗卫生机构护理人力资源结构现状调查与需求分析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赵彩霞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江苏护理</w:t>
            </w:r>
          </w:p>
          <w:p>
            <w:pPr>
              <w:widowControl/>
              <w:spacing w:line="300" w:lineRule="exact"/>
              <w:rPr>
                <w:rFonts w:ascii="仿宋" w:hAnsi="仿宋" w:eastAsia="仿宋" w:cs="仿宋"/>
                <w:bCs/>
                <w:szCs w:val="21"/>
              </w:rPr>
            </w:pPr>
            <w:r>
              <w:rPr>
                <w:rFonts w:hint="eastAsia" w:ascii="仿宋" w:hAnsi="仿宋" w:eastAsia="仿宋" w:cs="仿宋"/>
                <w:bCs/>
                <w:szCs w:val="21"/>
              </w:rPr>
              <w:t>职业学院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淮安市某三甲综合性医院卫生人力资源现状调查与分析</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田  璇</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淮安市第一</w:t>
            </w:r>
          </w:p>
          <w:p>
            <w:pPr>
              <w:widowControl/>
              <w:spacing w:line="300" w:lineRule="exact"/>
              <w:rPr>
                <w:rFonts w:ascii="仿宋" w:hAnsi="仿宋" w:eastAsia="仿宋" w:cs="仿宋"/>
                <w:bCs/>
                <w:szCs w:val="21"/>
              </w:rPr>
            </w:pPr>
            <w:r>
              <w:rPr>
                <w:rFonts w:hint="eastAsia" w:ascii="仿宋" w:hAnsi="仿宋" w:eastAsia="仿宋" w:cs="仿宋"/>
                <w:bCs/>
                <w:szCs w:val="21"/>
              </w:rPr>
              <w:t>人民医院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时间研究法在公立医院人力资源配置中的应用</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李朝阳</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淮安市第一</w:t>
            </w:r>
          </w:p>
          <w:p>
            <w:pPr>
              <w:widowControl/>
              <w:spacing w:line="300" w:lineRule="exact"/>
              <w:rPr>
                <w:rFonts w:ascii="仿宋" w:hAnsi="仿宋" w:eastAsia="仿宋" w:cs="仿宋"/>
                <w:bCs/>
                <w:szCs w:val="21"/>
              </w:rPr>
            </w:pPr>
            <w:r>
              <w:rPr>
                <w:rFonts w:hint="eastAsia" w:ascii="仿宋" w:hAnsi="仿宋" w:eastAsia="仿宋" w:cs="仿宋"/>
                <w:bCs/>
                <w:szCs w:val="21"/>
              </w:rPr>
              <w:t>人民医院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国家地表水环境质量监测网淮安考核断面水质评价与对策研究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陈业勤</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基于淮安考核断面的地表水质评价方法研究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牛  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国家地表水环境质量监测网淮安市考核断面水质评价与对策研究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陈玉柱</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淮安市环境</w:t>
            </w:r>
          </w:p>
          <w:p>
            <w:pPr>
              <w:widowControl/>
              <w:spacing w:line="300" w:lineRule="exact"/>
              <w:rPr>
                <w:rFonts w:ascii="仿宋" w:hAnsi="仿宋" w:eastAsia="仿宋" w:cs="仿宋"/>
                <w:bCs/>
                <w:szCs w:val="21"/>
              </w:rPr>
            </w:pPr>
            <w:r>
              <w:rPr>
                <w:rFonts w:hint="eastAsia" w:ascii="仿宋" w:hAnsi="仿宋" w:eastAsia="仿宋" w:cs="仿宋"/>
                <w:bCs/>
                <w:szCs w:val="21"/>
              </w:rPr>
              <w:t>监测中心站</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基于大数据的淮安地表水质分析关键技术研究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毕艳茹</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基于离子印迹技术的淮安市地表水重金属检测技术研究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   露</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99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“放管服”改革背景下淮安市企业投资项目“多评合一”的可行性与对策建议</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张玉磊</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应变对凹土微结构电、磁、光性能影响的研究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李冠男</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p>
            <w:pPr>
              <w:widowControl/>
              <w:spacing w:line="300" w:lineRule="exact"/>
              <w:rPr>
                <w:rFonts w:ascii="仿宋" w:hAnsi="仿宋" w:eastAsia="仿宋" w:cs="仿宋"/>
                <w:bCs/>
                <w:szCs w:val="21"/>
              </w:rPr>
            </w:pPr>
            <w:r>
              <w:rPr>
                <w:rFonts w:hint="eastAsia" w:ascii="仿宋" w:hAnsi="仿宋" w:eastAsia="仿宋" w:cs="仿宋"/>
                <w:bCs/>
                <w:szCs w:val="21"/>
              </w:rPr>
              <w:t>数理学院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地市级农科院所成果转化收益分配制度研究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  露</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江苏徐淮地区淮阴农业科学研究所</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基于决策效用与体验效用缺口理论的淮安市文明城市创建中市民文明行为促进对策研究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孟  桃</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关于加强财政环保资金管理提高资金使用效率推进生态文明建设持续发展的调查报告</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陆学秀</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市老科协</w:t>
            </w:r>
          </w:p>
          <w:p>
            <w:pPr>
              <w:widowControl/>
              <w:spacing w:line="300" w:lineRule="exact"/>
              <w:rPr>
                <w:rFonts w:ascii="仿宋" w:hAnsi="仿宋" w:eastAsia="仿宋" w:cs="仿宋"/>
                <w:bCs/>
                <w:szCs w:val="21"/>
              </w:rPr>
            </w:pPr>
            <w:r>
              <w:rPr>
                <w:rFonts w:hint="eastAsia" w:ascii="仿宋" w:hAnsi="仿宋" w:eastAsia="仿宋" w:cs="仿宋"/>
                <w:bCs/>
                <w:szCs w:val="21"/>
              </w:rPr>
              <w:t>财经分会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淮安汽车售后服务质量评价及提升策略研究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游  专</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淮安市高教园区与区域经济互动发展研究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刘步中</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淮安市教学装备产业质量提升对策研究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  强</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淮安市产品质量监督综合</w:t>
            </w:r>
          </w:p>
          <w:p>
            <w:pPr>
              <w:widowControl/>
              <w:spacing w:line="300" w:lineRule="exact"/>
              <w:rPr>
                <w:rFonts w:ascii="仿宋" w:hAnsi="仿宋" w:eastAsia="仿宋" w:cs="仿宋"/>
                <w:bCs/>
                <w:szCs w:val="21"/>
              </w:rPr>
            </w:pPr>
            <w:r>
              <w:rPr>
                <w:rFonts w:hint="eastAsia" w:ascii="仿宋" w:hAnsi="仿宋" w:eastAsia="仿宋" w:cs="仿宋"/>
                <w:bCs/>
                <w:szCs w:val="21"/>
              </w:rPr>
              <w:t>检验中心</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淮安先进制造业现状及发展路径研究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王成伟</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淮阴工学院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淮安市特钢产业质量现状调查与质量提升分析</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李  彬</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淮安市产品质量监督综合</w:t>
            </w:r>
          </w:p>
          <w:p>
            <w:pPr>
              <w:widowControl/>
              <w:spacing w:line="300" w:lineRule="exact"/>
              <w:rPr>
                <w:rFonts w:ascii="仿宋" w:hAnsi="仿宋" w:eastAsia="仿宋" w:cs="仿宋"/>
                <w:bCs/>
                <w:szCs w:val="21"/>
              </w:rPr>
            </w:pPr>
            <w:r>
              <w:rPr>
                <w:rFonts w:hint="eastAsia" w:ascii="仿宋" w:hAnsi="仿宋" w:eastAsia="仿宋" w:cs="仿宋"/>
                <w:bCs/>
                <w:szCs w:val="21"/>
              </w:rPr>
              <w:t>检验中心</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109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淮安市绿色食品加工中质量控制行为研究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殷沐林</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江苏食品药品职业技术学院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110</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淮安市盐化新材料产业绿色可持续发展的对策研究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牛雁宁</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南京林业大学（淮安校区）</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 xml:space="preserve">淮安市新能源汽车消费者购买行为及促进对策研究 </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庄彦霞</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新型建筑工业化技术研究与推广应用</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陈 胜</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淮安市清浦新区投资建设有限公司</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夏热冬冷地区被动式超低能耗住宅建筑研究   以淮安为例</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吕雪松</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学生、家长、学校三者的新型共生关系研究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尹洪辉</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追求高智商培养的环境现状对学生情商、意商的影响分析与补救对策</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徐  梅</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心理暗示训练对缓解中学生体育中考中长跑赛前状态和测试成绩的影响研究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余  锋</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经济新常态背景下大学生创业教育研究—以淮安市高校为例</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徐建丽</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淮安信息职业技术学院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118</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淮安市青少年健康突出问题及健康影响因素调查分析</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王炎炎</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119</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淮安市职业病防治机构能力现状调查</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何冬冬</w:t>
            </w:r>
          </w:p>
        </w:tc>
        <w:tc>
          <w:tcPr>
            <w:tcW w:w="159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120</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淮安市四类人群梅毒预防知识知晓率调查研究</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赵鹏鹏</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市医学会</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121</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淮安市手足口病病原演变特征及手足口病再次罹患特征队列研究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高  强</w:t>
            </w:r>
          </w:p>
        </w:tc>
        <w:tc>
          <w:tcPr>
            <w:tcW w:w="159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市疾病预防</w:t>
            </w:r>
          </w:p>
          <w:p>
            <w:pPr>
              <w:widowControl/>
              <w:spacing w:line="300" w:lineRule="exact"/>
              <w:jc w:val="center"/>
              <w:rPr>
                <w:rFonts w:ascii="仿宋" w:hAnsi="仿宋" w:eastAsia="仿宋" w:cs="仿宋"/>
                <w:bCs/>
                <w:szCs w:val="21"/>
              </w:rPr>
            </w:pPr>
            <w:r>
              <w:rPr>
                <w:rFonts w:hint="eastAsia" w:ascii="仿宋" w:hAnsi="仿宋" w:eastAsia="仿宋" w:cs="仿宋"/>
                <w:bCs/>
                <w:szCs w:val="21"/>
              </w:rPr>
              <w:t>控制中心</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122</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运动处方对高职护生抑郁心理的干预研究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秦永亭</w:t>
            </w:r>
          </w:p>
        </w:tc>
        <w:tc>
          <w:tcPr>
            <w:tcW w:w="159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江苏护理</w:t>
            </w:r>
          </w:p>
          <w:p>
            <w:pPr>
              <w:widowControl/>
              <w:spacing w:line="300" w:lineRule="exact"/>
              <w:jc w:val="center"/>
              <w:rPr>
                <w:rFonts w:ascii="仿宋" w:hAnsi="仿宋" w:eastAsia="仿宋" w:cs="仿宋"/>
                <w:bCs/>
                <w:szCs w:val="21"/>
              </w:rPr>
            </w:pPr>
            <w:r>
              <w:rPr>
                <w:rFonts w:hint="eastAsia" w:ascii="仿宋" w:hAnsi="仿宋" w:eastAsia="仿宋" w:cs="仿宋"/>
                <w:bCs/>
                <w:szCs w:val="21"/>
              </w:rPr>
              <w:t>职业学院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123</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高职医学生电子健康素养现状与干预措施的研究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张筱晗</w:t>
            </w:r>
          </w:p>
        </w:tc>
        <w:tc>
          <w:tcPr>
            <w:tcW w:w="159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江苏护理</w:t>
            </w:r>
          </w:p>
          <w:p>
            <w:pPr>
              <w:widowControl/>
              <w:spacing w:line="300" w:lineRule="exact"/>
              <w:jc w:val="center"/>
              <w:rPr>
                <w:rFonts w:ascii="仿宋" w:hAnsi="仿宋" w:eastAsia="仿宋" w:cs="仿宋"/>
                <w:bCs/>
                <w:szCs w:val="21"/>
              </w:rPr>
            </w:pPr>
            <w:r>
              <w:rPr>
                <w:rFonts w:hint="eastAsia" w:ascii="仿宋" w:hAnsi="仿宋" w:eastAsia="仿宋" w:cs="仿宋"/>
                <w:bCs/>
                <w:szCs w:val="21"/>
              </w:rPr>
              <w:t>职业学院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124</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淮安市碘盐标准调整前后碘营养状况分析</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赵海龙</w:t>
            </w:r>
          </w:p>
        </w:tc>
        <w:tc>
          <w:tcPr>
            <w:tcW w:w="159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市预防医学会</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125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szCs w:val="21"/>
              </w:rPr>
              <w:t>淮安市零售药店信息技术采纳影响因素实证研究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szCs w:val="21"/>
              </w:rPr>
              <w:t>张  苏</w:t>
            </w:r>
          </w:p>
        </w:tc>
        <w:tc>
          <w:tcPr>
            <w:tcW w:w="1590" w:type="dxa"/>
            <w:vAlign w:val="center"/>
          </w:tcPr>
          <w:p>
            <w:pPr>
              <w:widowControl/>
              <w:spacing w:line="300" w:lineRule="exact"/>
              <w:jc w:val="center"/>
              <w:rPr>
                <w:rFonts w:ascii="仿宋" w:hAnsi="仿宋" w:eastAsia="仿宋" w:cs="仿宋"/>
                <w:szCs w:val="21"/>
              </w:rPr>
            </w:pPr>
            <w:r>
              <w:rPr>
                <w:rFonts w:hint="eastAsia" w:ascii="仿宋" w:hAnsi="仿宋" w:eastAsia="仿宋" w:cs="仿宋"/>
                <w:szCs w:val="21"/>
              </w:rPr>
              <w:t>市计算机学会、江苏苏云医药管理</w:t>
            </w:r>
          </w:p>
          <w:p>
            <w:pPr>
              <w:widowControl/>
              <w:spacing w:line="300" w:lineRule="exact"/>
              <w:jc w:val="center"/>
              <w:rPr>
                <w:rFonts w:ascii="仿宋" w:hAnsi="仿宋" w:eastAsia="仿宋" w:cs="仿宋"/>
                <w:bCs/>
                <w:szCs w:val="21"/>
              </w:rPr>
            </w:pPr>
            <w:r>
              <w:rPr>
                <w:rFonts w:hint="eastAsia" w:ascii="仿宋" w:hAnsi="仿宋" w:eastAsia="仿宋" w:cs="仿宋"/>
                <w:szCs w:val="21"/>
              </w:rPr>
              <w:t>有限公司</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bCs/>
                <w:szCs w:val="21"/>
              </w:rPr>
              <w:t>126</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老龄化背景下城市老年代步车交通安全改善策略研究</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胡思涛</w:t>
            </w:r>
          </w:p>
        </w:tc>
        <w:tc>
          <w:tcPr>
            <w:tcW w:w="159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市交通工程</w:t>
            </w:r>
          </w:p>
          <w:p>
            <w:pPr>
              <w:spacing w:line="300" w:lineRule="exact"/>
              <w:jc w:val="center"/>
              <w:rPr>
                <w:rFonts w:ascii="仿宋" w:hAnsi="仿宋" w:eastAsia="仿宋" w:cs="仿宋"/>
                <w:bCs/>
                <w:szCs w:val="21"/>
              </w:rPr>
            </w:pPr>
            <w:r>
              <w:rPr>
                <w:rFonts w:hint="eastAsia" w:ascii="仿宋" w:hAnsi="仿宋" w:eastAsia="仿宋" w:cs="仿宋"/>
                <w:szCs w:val="21"/>
              </w:rPr>
              <w:t>学会</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127</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szCs w:val="21"/>
              </w:rPr>
              <w:t>有轨电车沿线地表沉降监测可行性研究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陶叶青</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128</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虚拟现实技术在气象行业中的应用前景分析</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宋昊冬</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市气象学会（淮安市气象局）</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129</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淮安市城镇化进程中新市民信息行为特征与社区信息服务策略研究</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王秀丽</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淮阴工学院</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130</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地方高校图书馆社会化服务调查与研究——以驻淮安高校为例</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吴  越</w:t>
            </w:r>
          </w:p>
        </w:tc>
        <w:tc>
          <w:tcPr>
            <w:tcW w:w="159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江苏护理</w:t>
            </w:r>
          </w:p>
          <w:p>
            <w:pPr>
              <w:spacing w:line="300" w:lineRule="exact"/>
              <w:jc w:val="center"/>
              <w:rPr>
                <w:rFonts w:ascii="仿宋" w:hAnsi="仿宋" w:eastAsia="仿宋" w:cs="仿宋"/>
                <w:bCs/>
                <w:szCs w:val="21"/>
              </w:rPr>
            </w:pPr>
            <w:r>
              <w:rPr>
                <w:rFonts w:hint="eastAsia" w:ascii="仿宋" w:hAnsi="仿宋" w:eastAsia="仿宋" w:cs="仿宋"/>
                <w:szCs w:val="21"/>
              </w:rPr>
              <w:t>职业学院</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131</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新形势下“图书馆+”模式的实践与思考</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王冬梅</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淮安市图书馆</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color w:val="000000"/>
                <w:kern w:val="0"/>
                <w:szCs w:val="21"/>
                <w:lang w:bidi="ar"/>
              </w:rPr>
              <w:t>132</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播撒阅读的种子——淮安市0-6岁早期阅读推广计划</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郑晓霞</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淮安市图书馆</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133</w:t>
            </w:r>
          </w:p>
        </w:tc>
        <w:tc>
          <w:tcPr>
            <w:tcW w:w="2700" w:type="dxa"/>
            <w:vAlign w:val="center"/>
          </w:tcPr>
          <w:p>
            <w:pPr>
              <w:spacing w:line="300" w:lineRule="exact"/>
              <w:rPr>
                <w:rFonts w:ascii="仿宋" w:hAnsi="仿宋" w:eastAsia="仿宋" w:cs="仿宋"/>
                <w:bCs/>
                <w:szCs w:val="21"/>
              </w:rPr>
            </w:pPr>
            <w:r>
              <w:rPr>
                <w:rFonts w:hint="eastAsia" w:ascii="仿宋" w:hAnsi="仿宋" w:eastAsia="仿宋" w:cs="仿宋"/>
                <w:szCs w:val="21"/>
              </w:rPr>
              <w:t>构建图书馆服务联合体模式研究——以淮安地区图书馆为例</w:t>
            </w:r>
          </w:p>
        </w:tc>
        <w:tc>
          <w:tcPr>
            <w:tcW w:w="141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唐  红</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淮安市图书馆</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宋体" w:hAnsi="宋体" w:cs="宋体"/>
                <w:color w:val="000000"/>
                <w:kern w:val="0"/>
                <w:sz w:val="22"/>
                <w:szCs w:val="22"/>
                <w:lang w:bidi="ar"/>
              </w:rPr>
              <w:t>134</w:t>
            </w:r>
          </w:p>
        </w:tc>
        <w:tc>
          <w:tcPr>
            <w:tcW w:w="2700" w:type="dxa"/>
            <w:vAlign w:val="center"/>
          </w:tcPr>
          <w:p>
            <w:pPr>
              <w:pStyle w:val="2"/>
              <w:spacing w:line="300" w:lineRule="exact"/>
              <w:rPr>
                <w:rFonts w:ascii="仿宋" w:hAnsi="仿宋" w:eastAsia="仿宋" w:cs="仿宋"/>
                <w:bCs/>
              </w:rPr>
            </w:pPr>
            <w:r>
              <w:rPr>
                <w:rFonts w:hint="eastAsia" w:ascii="仿宋" w:hAnsi="仿宋" w:eastAsia="仿宋" w:cs="仿宋"/>
                <w:bCs/>
              </w:rPr>
              <w:t>区域发展视野下淮安地方文献协同构建研究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szCs w:val="21"/>
              </w:rPr>
              <w:t>周久凤</w:t>
            </w:r>
          </w:p>
        </w:tc>
        <w:tc>
          <w:tcPr>
            <w:tcW w:w="159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szCs w:val="21"/>
              </w:rPr>
              <w:t>淮阴师范学院</w:t>
            </w:r>
          </w:p>
        </w:tc>
        <w:tc>
          <w:tcPr>
            <w:tcW w:w="1515"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bCs/>
                <w:szCs w:val="21"/>
              </w:rPr>
              <w:t>135</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周恩来研究专题库中灰色文献的收集与建库研究</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szCs w:val="21"/>
              </w:rPr>
              <w:t>郑燕平</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淮阴师范学院</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4" w:type="dxa"/>
            <w:vAlign w:val="center"/>
          </w:tcPr>
          <w:p>
            <w:pPr>
              <w:widowControl/>
              <w:spacing w:line="300" w:lineRule="exact"/>
              <w:jc w:val="center"/>
              <w:textAlignment w:val="center"/>
              <w:rPr>
                <w:rFonts w:ascii="仿宋" w:hAnsi="仿宋" w:eastAsia="仿宋" w:cs="仿宋"/>
                <w:bCs/>
                <w:szCs w:val="21"/>
              </w:rPr>
            </w:pPr>
            <w:r>
              <w:rPr>
                <w:rFonts w:hint="eastAsia" w:ascii="仿宋" w:hAnsi="仿宋" w:eastAsia="仿宋" w:cs="仿宋"/>
                <w:bCs/>
                <w:szCs w:val="21"/>
              </w:rPr>
              <w:t>136</w:t>
            </w:r>
          </w:p>
        </w:tc>
        <w:tc>
          <w:tcPr>
            <w:tcW w:w="2700" w:type="dxa"/>
            <w:vAlign w:val="center"/>
          </w:tcPr>
          <w:p>
            <w:pPr>
              <w:widowControl/>
              <w:spacing w:line="300" w:lineRule="exact"/>
              <w:rPr>
                <w:rFonts w:ascii="仿宋" w:hAnsi="仿宋" w:eastAsia="仿宋" w:cs="仿宋"/>
                <w:bCs/>
                <w:szCs w:val="21"/>
              </w:rPr>
            </w:pPr>
            <w:r>
              <w:rPr>
                <w:rFonts w:hint="eastAsia" w:ascii="仿宋" w:hAnsi="仿宋" w:eastAsia="仿宋" w:cs="仿宋"/>
                <w:bCs/>
                <w:szCs w:val="21"/>
              </w:rPr>
              <w:t>淮安市中医药、中西医结合人才队伍建设、作用状况调研</w:t>
            </w:r>
          </w:p>
        </w:tc>
        <w:tc>
          <w:tcPr>
            <w:tcW w:w="1410" w:type="dxa"/>
            <w:vAlign w:val="center"/>
          </w:tcPr>
          <w:p>
            <w:pPr>
              <w:widowControl/>
              <w:spacing w:line="300" w:lineRule="exact"/>
              <w:jc w:val="center"/>
              <w:rPr>
                <w:rFonts w:ascii="仿宋" w:hAnsi="仿宋" w:eastAsia="仿宋" w:cs="仿宋"/>
                <w:bCs/>
                <w:szCs w:val="21"/>
              </w:rPr>
            </w:pPr>
            <w:r>
              <w:rPr>
                <w:rFonts w:hint="eastAsia" w:ascii="仿宋" w:hAnsi="仿宋" w:eastAsia="仿宋" w:cs="仿宋"/>
                <w:szCs w:val="21"/>
              </w:rPr>
              <w:t>蒋莉</w:t>
            </w:r>
          </w:p>
        </w:tc>
        <w:tc>
          <w:tcPr>
            <w:tcW w:w="1590" w:type="dxa"/>
            <w:vAlign w:val="center"/>
          </w:tcPr>
          <w:p>
            <w:pPr>
              <w:spacing w:line="300" w:lineRule="exact"/>
              <w:jc w:val="center"/>
              <w:rPr>
                <w:rFonts w:ascii="仿宋" w:hAnsi="仿宋" w:eastAsia="仿宋" w:cs="仿宋"/>
                <w:bCs/>
                <w:szCs w:val="21"/>
              </w:rPr>
            </w:pPr>
            <w:r>
              <w:rPr>
                <w:rFonts w:hint="eastAsia" w:ascii="仿宋" w:hAnsi="仿宋" w:eastAsia="仿宋" w:cs="仿宋"/>
                <w:szCs w:val="21"/>
              </w:rPr>
              <w:t>市</w:t>
            </w:r>
            <w:r>
              <w:rPr>
                <w:rFonts w:ascii="仿宋" w:hAnsi="仿宋" w:eastAsia="仿宋" w:cs="仿宋"/>
                <w:szCs w:val="21"/>
              </w:rPr>
              <w:t>中西医结合学会</w:t>
            </w:r>
          </w:p>
        </w:tc>
        <w:tc>
          <w:tcPr>
            <w:tcW w:w="1515" w:type="dxa"/>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立项不资助</w:t>
            </w:r>
          </w:p>
        </w:tc>
      </w:tr>
    </w:tbl>
    <w:p>
      <w:pPr>
        <w:widowControl/>
        <w:jc w:val="center"/>
        <w:rPr>
          <w:rFonts w:ascii="宋体" w:hAnsi="宋体" w:cs="Courier New"/>
          <w:b/>
          <w:sz w:val="36"/>
          <w:szCs w:val="36"/>
        </w:rPr>
      </w:pPr>
    </w:p>
    <w:p>
      <w:pPr>
        <w:spacing w:line="440" w:lineRule="exact"/>
        <w:ind w:right="1270"/>
        <w:rPr>
          <w:rFonts w:hint="eastAsia" w:ascii="仿宋" w:hAnsi="仿宋" w:eastAsia="仿宋"/>
          <w:sz w:val="32"/>
          <w:szCs w:val="32"/>
        </w:rPr>
      </w:pPr>
    </w:p>
    <w:p/>
    <w:sectPr>
      <w:pgSz w:w="11906" w:h="16838"/>
      <w:pgMar w:top="1701" w:right="1134"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00BC0"/>
    <w:rsid w:val="09A00BC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tfp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2018-08-17T06:12:00Z</dcterms:created>
  <dc:creator>十八子</dc:creator>
  <cp:lastModifiedBy>十八子</cp:lastModifiedBy>
  <dcterms:modified xsi:type="dcterms:W3CDTF">2018-08-17T06:13:18Z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